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AFFE" w14:textId="56C99703" w:rsidR="00D6776E" w:rsidRPr="002B2AFB" w:rsidRDefault="00D6776E" w:rsidP="00D6776E">
      <w:pPr>
        <w:spacing w:line="480" w:lineRule="exact"/>
        <w:jc w:val="center"/>
        <w:rPr>
          <w:rFonts w:ascii="Times New Roman" w:eastAsia="华文中宋" w:hAnsi="Times New Roman" w:cs="Times New Roman"/>
          <w:b/>
          <w:sz w:val="36"/>
          <w:szCs w:val="36"/>
        </w:rPr>
      </w:pPr>
      <w:bookmarkStart w:id="0" w:name="OLE_LINK1"/>
      <w:bookmarkStart w:id="1" w:name="OLE_LINK2"/>
      <w:r w:rsidRPr="002B2AFB">
        <w:rPr>
          <w:rFonts w:ascii="Times New Roman" w:eastAsia="华文中宋" w:hAnsi="Times New Roman" w:cs="Times New Roman"/>
          <w:b/>
          <w:sz w:val="36"/>
          <w:szCs w:val="36"/>
        </w:rPr>
        <w:t>关于</w:t>
      </w:r>
      <w:r w:rsidR="005C591A">
        <w:rPr>
          <w:rFonts w:ascii="Times New Roman" w:eastAsia="华文中宋" w:hAnsi="Times New Roman" w:cs="Times New Roman"/>
          <w:b/>
          <w:sz w:val="36"/>
          <w:szCs w:val="36"/>
        </w:rPr>
        <w:t>第十</w:t>
      </w:r>
      <w:r w:rsidR="00591CA6">
        <w:rPr>
          <w:rFonts w:ascii="Times New Roman" w:eastAsia="华文中宋" w:hAnsi="Times New Roman" w:cs="Times New Roman" w:hint="eastAsia"/>
          <w:b/>
          <w:sz w:val="36"/>
          <w:szCs w:val="36"/>
        </w:rPr>
        <w:t>六</w:t>
      </w:r>
      <w:r w:rsidR="005C591A">
        <w:rPr>
          <w:rFonts w:ascii="Times New Roman" w:eastAsia="华文中宋" w:hAnsi="Times New Roman" w:cs="Times New Roman"/>
          <w:b/>
          <w:sz w:val="36"/>
          <w:szCs w:val="36"/>
        </w:rPr>
        <w:t>届（</w:t>
      </w:r>
      <w:r w:rsidR="005C591A">
        <w:rPr>
          <w:rFonts w:ascii="Times New Roman" w:eastAsia="华文中宋" w:hAnsi="Times New Roman" w:cs="Times New Roman"/>
          <w:b/>
          <w:sz w:val="36"/>
          <w:szCs w:val="36"/>
        </w:rPr>
        <w:t>20</w:t>
      </w:r>
      <w:r w:rsidR="00591CA6">
        <w:rPr>
          <w:rFonts w:ascii="Times New Roman" w:eastAsia="华文中宋" w:hAnsi="Times New Roman" w:cs="Times New Roman"/>
          <w:b/>
          <w:sz w:val="36"/>
          <w:szCs w:val="36"/>
        </w:rPr>
        <w:t>23</w:t>
      </w:r>
      <w:r w:rsidR="005C591A">
        <w:rPr>
          <w:rFonts w:ascii="Times New Roman" w:eastAsia="华文中宋" w:hAnsi="Times New Roman" w:cs="Times New Roman"/>
          <w:b/>
          <w:sz w:val="36"/>
          <w:szCs w:val="36"/>
        </w:rPr>
        <w:t>）</w:t>
      </w:r>
      <w:r w:rsidRPr="002B2AFB">
        <w:rPr>
          <w:rFonts w:ascii="Times New Roman" w:eastAsia="华文中宋" w:hAnsi="Times New Roman" w:cs="Times New Roman"/>
          <w:b/>
          <w:sz w:val="36"/>
          <w:szCs w:val="36"/>
        </w:rPr>
        <w:t>中国牛业发展大会论文征稿通知</w:t>
      </w:r>
    </w:p>
    <w:p w14:paraId="774258E7" w14:textId="069F3FBA" w:rsidR="00591CA6" w:rsidRDefault="00622D8F" w:rsidP="00591CA6">
      <w:pP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各</w:t>
      </w:r>
      <w:r w:rsidR="00C37468" w:rsidRPr="002B2AFB">
        <w:rPr>
          <w:rFonts w:ascii="Times New Roman" w:eastAsia="仿宋_GB2312" w:hAnsi="Times New Roman" w:cs="Times New Roman"/>
          <w:sz w:val="30"/>
          <w:szCs w:val="30"/>
        </w:rPr>
        <w:t>会员单位、牛业相关企业、事业、行政及教学科研单位：</w:t>
      </w:r>
    </w:p>
    <w:p w14:paraId="4F76EB23" w14:textId="77777777" w:rsidR="00591CA6" w:rsidRDefault="00591CA6" w:rsidP="00591CA6">
      <w:pPr>
        <w:spacing w:line="560" w:lineRule="exact"/>
        <w:ind w:firstLineChars="200" w:firstLine="600"/>
        <w:rPr>
          <w:rFonts w:ascii="Times New Roman" w:eastAsia="仿宋" w:hAnsi="Times New Roman" w:cs="Times New Roman"/>
          <w:sz w:val="30"/>
          <w:szCs w:val="30"/>
        </w:rPr>
      </w:pPr>
      <w:r w:rsidRPr="00591CA6">
        <w:rPr>
          <w:rFonts w:ascii="Times New Roman" w:eastAsia="仿宋" w:hAnsi="Times New Roman" w:cs="Times New Roman" w:hint="eastAsia"/>
          <w:sz w:val="30"/>
          <w:szCs w:val="30"/>
        </w:rPr>
        <w:t>肉牛业是我国畜牧业的重要组成部分，牛肉是百姓“菜篮子”的重要品种。发展肉牛生产，对于增强牛肉供给保障能力，巩固脱贫攻坚成果，全面推进乡村振兴，促进经济社会稳定发展具有十分重要的意义。近年来，国家扶持政策持续聚焦肉牛产业高质量发展，我国肉牛生产总体保持增长态势，生产水平逐步提升。据统计，</w:t>
      </w:r>
      <w:r w:rsidRPr="00591CA6">
        <w:rPr>
          <w:rFonts w:ascii="Times New Roman" w:eastAsia="仿宋" w:hAnsi="Times New Roman" w:cs="Times New Roman" w:hint="eastAsia"/>
          <w:sz w:val="30"/>
          <w:szCs w:val="30"/>
        </w:rPr>
        <w:t xml:space="preserve"> 2021</w:t>
      </w:r>
      <w:r w:rsidRPr="00591CA6">
        <w:rPr>
          <w:rFonts w:ascii="Times New Roman" w:eastAsia="仿宋" w:hAnsi="Times New Roman" w:cs="Times New Roman" w:hint="eastAsia"/>
          <w:sz w:val="30"/>
          <w:szCs w:val="30"/>
        </w:rPr>
        <w:t>年我国肉牛存栏总数约</w:t>
      </w:r>
      <w:r w:rsidRPr="00591CA6">
        <w:rPr>
          <w:rFonts w:ascii="Times New Roman" w:eastAsia="仿宋" w:hAnsi="Times New Roman" w:cs="Times New Roman" w:hint="eastAsia"/>
          <w:sz w:val="30"/>
          <w:szCs w:val="30"/>
        </w:rPr>
        <w:t>8004.4</w:t>
      </w:r>
      <w:r w:rsidRPr="00591CA6">
        <w:rPr>
          <w:rFonts w:ascii="Times New Roman" w:eastAsia="仿宋" w:hAnsi="Times New Roman" w:cs="Times New Roman" w:hint="eastAsia"/>
          <w:sz w:val="30"/>
          <w:szCs w:val="30"/>
        </w:rPr>
        <w:t>万头，出栏总数约</w:t>
      </w:r>
      <w:r w:rsidRPr="00591CA6">
        <w:rPr>
          <w:rFonts w:ascii="Times New Roman" w:eastAsia="仿宋" w:hAnsi="Times New Roman" w:cs="Times New Roman" w:hint="eastAsia"/>
          <w:sz w:val="30"/>
          <w:szCs w:val="30"/>
        </w:rPr>
        <w:t>4707.4</w:t>
      </w:r>
      <w:r w:rsidRPr="00591CA6">
        <w:rPr>
          <w:rFonts w:ascii="Times New Roman" w:eastAsia="仿宋" w:hAnsi="Times New Roman" w:cs="Times New Roman" w:hint="eastAsia"/>
          <w:sz w:val="30"/>
          <w:szCs w:val="30"/>
        </w:rPr>
        <w:t>万头，分别比十年前增长</w:t>
      </w:r>
      <w:r w:rsidRPr="00591CA6">
        <w:rPr>
          <w:rFonts w:ascii="Times New Roman" w:eastAsia="仿宋" w:hAnsi="Times New Roman" w:cs="Times New Roman" w:hint="eastAsia"/>
          <w:sz w:val="30"/>
          <w:szCs w:val="30"/>
        </w:rPr>
        <w:t>20.4%</w:t>
      </w:r>
      <w:r w:rsidRPr="00591CA6">
        <w:rPr>
          <w:rFonts w:ascii="Times New Roman" w:eastAsia="仿宋" w:hAnsi="Times New Roman" w:cs="Times New Roman" w:hint="eastAsia"/>
          <w:sz w:val="30"/>
          <w:szCs w:val="30"/>
        </w:rPr>
        <w:t>和</w:t>
      </w:r>
      <w:r w:rsidRPr="00591CA6">
        <w:rPr>
          <w:rFonts w:ascii="Times New Roman" w:eastAsia="仿宋" w:hAnsi="Times New Roman" w:cs="Times New Roman" w:hint="eastAsia"/>
          <w:sz w:val="30"/>
          <w:szCs w:val="30"/>
        </w:rPr>
        <w:t>12.5%</w:t>
      </w:r>
      <w:r w:rsidRPr="00591CA6">
        <w:rPr>
          <w:rFonts w:ascii="Times New Roman" w:eastAsia="仿宋" w:hAnsi="Times New Roman" w:cs="Times New Roman" w:hint="eastAsia"/>
          <w:sz w:val="30"/>
          <w:szCs w:val="30"/>
        </w:rPr>
        <w:t>。</w:t>
      </w:r>
    </w:p>
    <w:p w14:paraId="47597C92" w14:textId="75DA36D8" w:rsidR="00591CA6" w:rsidRDefault="00591CA6" w:rsidP="00591CA6">
      <w:pPr>
        <w:spacing w:line="560" w:lineRule="exact"/>
        <w:ind w:firstLineChars="200" w:firstLine="600"/>
        <w:rPr>
          <w:rFonts w:ascii="Times New Roman" w:eastAsia="仿宋_GB2312" w:hAnsi="Times New Roman" w:cs="Times New Roman"/>
          <w:sz w:val="30"/>
          <w:szCs w:val="30"/>
        </w:rPr>
      </w:pPr>
      <w:r>
        <w:rPr>
          <w:rFonts w:ascii="Times New Roman" w:eastAsia="仿宋" w:hAnsi="Times New Roman" w:cs="Times New Roman" w:hint="eastAsia"/>
          <w:sz w:val="30"/>
          <w:szCs w:val="30"/>
        </w:rPr>
        <w:t>“新冠肺炎”疫情发生三年来，国内外经济下行压力凸显，负面连锁效应积聚，当前虽然进入“后疫情时代”，但全球经济低迷的态势却难在短期内扭转。受饲草料成本上涨、终端消费疲软及市场价格回落等多方因素复杂叠加作用的影响，</w:t>
      </w:r>
      <w:r>
        <w:rPr>
          <w:rFonts w:ascii="Times New Roman" w:eastAsia="仿宋" w:hAnsi="Times New Roman" w:cs="Times New Roman"/>
          <w:sz w:val="30"/>
          <w:szCs w:val="30"/>
        </w:rPr>
        <w:t>2023</w:t>
      </w:r>
      <w:r>
        <w:rPr>
          <w:rFonts w:ascii="Times New Roman" w:eastAsia="仿宋" w:hAnsi="Times New Roman" w:cs="Times New Roman" w:hint="eastAsia"/>
          <w:sz w:val="30"/>
          <w:szCs w:val="30"/>
        </w:rPr>
        <w:t>年我国养牛经济效益有所下滑，规模化企业面临更为严峻的挑战，但风险向来伴随机遇，经过此轮冲击之后，国内牛产业结构与供给体系有望通过迭代升级迎来新的起点、开创新的局面。</w:t>
      </w:r>
    </w:p>
    <w:p w14:paraId="6E1ADE87" w14:textId="64030C84" w:rsidR="0099579F" w:rsidRPr="0099579F" w:rsidRDefault="00591CA6" w:rsidP="00591CA6">
      <w:pPr>
        <w:spacing w:line="520" w:lineRule="exact"/>
        <w:ind w:firstLineChars="200" w:firstLine="600"/>
        <w:rPr>
          <w:rFonts w:ascii="Times New Roman" w:eastAsia="仿宋_GB2312" w:hAnsi="Times New Roman" w:cs="Times New Roman"/>
          <w:sz w:val="30"/>
          <w:szCs w:val="30"/>
        </w:rPr>
      </w:pPr>
      <w:r>
        <w:rPr>
          <w:rFonts w:ascii="Times New Roman" w:eastAsia="仿宋" w:hAnsi="Times New Roman" w:cs="Times New Roman" w:hint="eastAsia"/>
          <w:sz w:val="30"/>
          <w:szCs w:val="30"/>
        </w:rPr>
        <w:t>为加快推动我国牛业高质量发展助力乡村振兴，锚定建设牛业强国目标，深化行业间交流合作，促进企业间学习互鉴，进一步提高自主牛业品牌核心竞争力与市场主导力，中国畜牧业协会定于</w:t>
      </w:r>
      <w:r>
        <w:rPr>
          <w:rFonts w:ascii="Times New Roman" w:eastAsia="仿宋" w:hAnsi="Times New Roman" w:cs="Times New Roman"/>
          <w:sz w:val="30"/>
          <w:szCs w:val="30"/>
        </w:rPr>
        <w:t>2023</w:t>
      </w:r>
      <w:r>
        <w:rPr>
          <w:rFonts w:ascii="Times New Roman" w:eastAsia="仿宋" w:hAnsi="Times New Roman" w:cs="Times New Roman" w:hint="eastAsia"/>
          <w:sz w:val="30"/>
          <w:szCs w:val="30"/>
        </w:rPr>
        <w:t>年</w:t>
      </w:r>
      <w:r>
        <w:rPr>
          <w:rFonts w:ascii="Times New Roman" w:eastAsia="仿宋" w:hAnsi="Times New Roman" w:cs="Times New Roman"/>
          <w:sz w:val="30"/>
          <w:szCs w:val="30"/>
        </w:rPr>
        <w:t>11</w:t>
      </w:r>
      <w:r>
        <w:rPr>
          <w:rFonts w:ascii="Times New Roman" w:eastAsia="仿宋" w:hAnsi="Times New Roman" w:cs="Times New Roman" w:hint="eastAsia"/>
          <w:sz w:val="30"/>
          <w:szCs w:val="30"/>
        </w:rPr>
        <w:t>月</w:t>
      </w:r>
      <w:r>
        <w:rPr>
          <w:rFonts w:ascii="Times New Roman" w:eastAsia="仿宋" w:hAnsi="Times New Roman" w:cs="Times New Roman"/>
          <w:sz w:val="30"/>
          <w:szCs w:val="30"/>
        </w:rPr>
        <w:t>10-12</w:t>
      </w:r>
      <w:r>
        <w:rPr>
          <w:rFonts w:ascii="Times New Roman" w:eastAsia="仿宋" w:hAnsi="Times New Roman" w:cs="Times New Roman" w:hint="eastAsia"/>
          <w:sz w:val="30"/>
          <w:szCs w:val="30"/>
        </w:rPr>
        <w:t>日在山东省滨州市阳信县召开</w:t>
      </w:r>
      <w:r>
        <w:rPr>
          <w:rFonts w:ascii="Times New Roman" w:eastAsia="仿宋" w:hAnsi="Times New Roman" w:cs="Times New Roman"/>
          <w:sz w:val="30"/>
          <w:szCs w:val="30"/>
        </w:rPr>
        <w:t>“</w:t>
      </w:r>
      <w:r>
        <w:rPr>
          <w:rFonts w:ascii="Times New Roman" w:eastAsia="仿宋" w:hAnsi="Times New Roman" w:cs="Times New Roman" w:hint="eastAsia"/>
          <w:sz w:val="30"/>
          <w:szCs w:val="30"/>
        </w:rPr>
        <w:t>第十六届</w:t>
      </w:r>
      <w:r>
        <w:rPr>
          <w:rFonts w:ascii="Times New Roman" w:eastAsia="仿宋" w:hAnsi="Times New Roman" w:cs="Times New Roman"/>
          <w:sz w:val="30"/>
          <w:szCs w:val="30"/>
        </w:rPr>
        <w:t>(2023)</w:t>
      </w:r>
      <w:r>
        <w:rPr>
          <w:rFonts w:ascii="Times New Roman" w:eastAsia="仿宋" w:hAnsi="Times New Roman" w:cs="Times New Roman" w:hint="eastAsia"/>
          <w:sz w:val="30"/>
          <w:szCs w:val="30"/>
        </w:rPr>
        <w:t>中国牛业发展大会</w:t>
      </w:r>
      <w:r>
        <w:rPr>
          <w:rFonts w:ascii="Times New Roman" w:eastAsia="仿宋" w:hAnsi="Times New Roman" w:cs="Times New Roman"/>
          <w:sz w:val="30"/>
          <w:szCs w:val="30"/>
        </w:rPr>
        <w:t>”</w:t>
      </w:r>
      <w:r>
        <w:rPr>
          <w:rFonts w:ascii="Times New Roman" w:eastAsia="仿宋" w:hAnsi="Times New Roman" w:cs="Times New Roman" w:hint="eastAsia"/>
          <w:sz w:val="30"/>
          <w:szCs w:val="30"/>
        </w:rPr>
        <w:t>，欢迎全国牛业</w:t>
      </w:r>
      <w:r>
        <w:rPr>
          <w:rFonts w:ascii="Times New Roman" w:eastAsia="仿宋" w:hAnsi="Times New Roman" w:cs="Times New Roman"/>
          <w:sz w:val="30"/>
          <w:szCs w:val="30"/>
        </w:rPr>
        <w:t>(</w:t>
      </w:r>
      <w:r>
        <w:rPr>
          <w:rFonts w:ascii="Times New Roman" w:eastAsia="仿宋" w:hAnsi="Times New Roman" w:cs="Times New Roman" w:hint="eastAsia"/>
          <w:sz w:val="30"/>
          <w:szCs w:val="30"/>
        </w:rPr>
        <w:t>肉牛、奶牛、水牛、牦牛</w:t>
      </w:r>
      <w:r>
        <w:rPr>
          <w:rFonts w:ascii="Times New Roman" w:eastAsia="仿宋" w:hAnsi="Times New Roman" w:cs="Times New Roman"/>
          <w:sz w:val="30"/>
          <w:szCs w:val="30"/>
        </w:rPr>
        <w:t>)</w:t>
      </w:r>
      <w:r>
        <w:rPr>
          <w:rFonts w:ascii="Times New Roman" w:eastAsia="仿宋" w:hAnsi="Times New Roman" w:cs="Times New Roman" w:hint="eastAsia"/>
          <w:sz w:val="30"/>
          <w:szCs w:val="30"/>
        </w:rPr>
        <w:t>及其相关行业</w:t>
      </w:r>
      <w:r>
        <w:rPr>
          <w:rFonts w:ascii="Times New Roman" w:eastAsia="仿宋" w:hAnsi="Times New Roman" w:cs="Times New Roman"/>
          <w:sz w:val="30"/>
          <w:szCs w:val="30"/>
        </w:rPr>
        <w:t>(</w:t>
      </w:r>
      <w:r>
        <w:rPr>
          <w:rFonts w:ascii="Times New Roman" w:eastAsia="仿宋" w:hAnsi="Times New Roman" w:cs="Times New Roman" w:hint="eastAsia"/>
          <w:sz w:val="30"/>
          <w:szCs w:val="30"/>
        </w:rPr>
        <w:t>养殖、屠宰、加工、贸易、餐饮、投资、兽药、生物制品、饲料、牧草、设备、</w:t>
      </w:r>
      <w:r>
        <w:rPr>
          <w:rFonts w:ascii="Times New Roman" w:eastAsia="仿宋" w:hAnsi="Times New Roman" w:cs="Times New Roman"/>
          <w:sz w:val="30"/>
          <w:szCs w:val="30"/>
        </w:rPr>
        <w:t>IT</w:t>
      </w:r>
      <w:r>
        <w:rPr>
          <w:rFonts w:ascii="Times New Roman" w:eastAsia="仿宋" w:hAnsi="Times New Roman" w:cs="Times New Roman" w:hint="eastAsia"/>
          <w:sz w:val="30"/>
          <w:szCs w:val="30"/>
        </w:rPr>
        <w:t>等</w:t>
      </w:r>
      <w:r>
        <w:rPr>
          <w:rFonts w:ascii="Times New Roman" w:eastAsia="仿宋" w:hAnsi="Times New Roman" w:cs="Times New Roman"/>
          <w:sz w:val="30"/>
          <w:szCs w:val="30"/>
        </w:rPr>
        <w:t>)</w:t>
      </w:r>
      <w:r>
        <w:rPr>
          <w:rFonts w:ascii="Times New Roman" w:eastAsia="仿宋" w:hAnsi="Times New Roman" w:cs="Times New Roman" w:hint="eastAsia"/>
          <w:sz w:val="30"/>
          <w:szCs w:val="30"/>
        </w:rPr>
        <w:t>的企业家、专家、管理者等踊跃参加。</w:t>
      </w:r>
    </w:p>
    <w:p w14:paraId="07B0E23E" w14:textId="77777777" w:rsidR="00591CA6" w:rsidRDefault="00591CA6" w:rsidP="0099579F">
      <w:pPr>
        <w:spacing w:line="520" w:lineRule="exact"/>
        <w:ind w:firstLineChars="200" w:firstLine="600"/>
        <w:rPr>
          <w:rFonts w:ascii="Times New Roman" w:eastAsia="仿宋_GB2312" w:hAnsi="Times New Roman" w:cs="Times New Roman"/>
          <w:sz w:val="30"/>
          <w:szCs w:val="30"/>
        </w:rPr>
      </w:pPr>
      <w:r w:rsidRPr="00591CA6">
        <w:rPr>
          <w:rFonts w:ascii="Times New Roman" w:eastAsia="仿宋_GB2312" w:hAnsi="Times New Roman" w:cs="Times New Roman" w:hint="eastAsia"/>
          <w:sz w:val="30"/>
          <w:szCs w:val="30"/>
        </w:rPr>
        <w:t>会议同期将出版论文集会刊，现向全国征集论文。</w:t>
      </w:r>
    </w:p>
    <w:p w14:paraId="4CAA4515" w14:textId="27E41275" w:rsidR="00430511" w:rsidRDefault="00591CA6" w:rsidP="0099579F">
      <w:pPr>
        <w:spacing w:line="520" w:lineRule="exact"/>
        <w:ind w:firstLineChars="200" w:firstLine="600"/>
        <w:rPr>
          <w:rFonts w:ascii="Times New Roman" w:eastAsia="仿宋_GB2312" w:hAnsi="Times New Roman" w:cs="Times New Roman"/>
          <w:sz w:val="30"/>
          <w:szCs w:val="30"/>
        </w:rPr>
      </w:pPr>
      <w:r w:rsidRPr="00591CA6">
        <w:rPr>
          <w:rFonts w:ascii="Times New Roman" w:eastAsia="仿宋_GB2312" w:hAnsi="Times New Roman" w:cs="Times New Roman" w:hint="eastAsia"/>
          <w:sz w:val="30"/>
          <w:szCs w:val="30"/>
        </w:rPr>
        <w:t>来稿请投</w:t>
      </w:r>
      <w:r w:rsidRPr="00591CA6">
        <w:rPr>
          <w:rFonts w:ascii="Times New Roman" w:eastAsia="仿宋_GB2312" w:hAnsi="Times New Roman" w:cs="Times New Roman" w:hint="eastAsia"/>
          <w:sz w:val="30"/>
          <w:szCs w:val="30"/>
        </w:rPr>
        <w:t>catt@caaa.cn</w:t>
      </w:r>
      <w:r w:rsidRPr="00591CA6">
        <w:rPr>
          <w:rFonts w:ascii="Times New Roman" w:eastAsia="仿宋_GB2312" w:hAnsi="Times New Roman" w:cs="Times New Roman" w:hint="eastAsia"/>
          <w:sz w:val="30"/>
          <w:szCs w:val="30"/>
        </w:rPr>
        <w:t>。</w:t>
      </w:r>
      <w:r w:rsidR="0099579F" w:rsidRPr="0099579F">
        <w:rPr>
          <w:rFonts w:ascii="Times New Roman" w:eastAsia="仿宋_GB2312" w:hAnsi="Times New Roman" w:cs="Times New Roman" w:hint="eastAsia"/>
          <w:sz w:val="30"/>
          <w:szCs w:val="30"/>
        </w:rPr>
        <w:t>征稿要求详见附件。</w:t>
      </w:r>
    </w:p>
    <w:p w14:paraId="44C794EB" w14:textId="77777777" w:rsidR="00622D8F" w:rsidRPr="0099579F" w:rsidRDefault="00622D8F" w:rsidP="0099579F">
      <w:pPr>
        <w:spacing w:line="520" w:lineRule="exact"/>
        <w:ind w:firstLineChars="200" w:firstLine="602"/>
        <w:rPr>
          <w:rFonts w:ascii="宋体" w:hAnsi="宋体"/>
          <w:b/>
          <w:bCs/>
          <w:sz w:val="30"/>
          <w:szCs w:val="30"/>
        </w:rPr>
      </w:pPr>
    </w:p>
    <w:p w14:paraId="3B291FAE" w14:textId="77777777" w:rsidR="009A7F3F" w:rsidRDefault="009A7F3F" w:rsidP="009A7F3F">
      <w:pPr>
        <w:spacing w:line="520" w:lineRule="exact"/>
        <w:ind w:left="435"/>
        <w:rPr>
          <w:rFonts w:ascii="宋体" w:hAnsi="宋体"/>
          <w:b/>
          <w:bCs/>
          <w:sz w:val="30"/>
          <w:szCs w:val="30"/>
        </w:rPr>
      </w:pPr>
      <w:r>
        <w:rPr>
          <w:rFonts w:ascii="宋体" w:hAnsi="宋体" w:hint="eastAsia"/>
          <w:b/>
          <w:bCs/>
          <w:sz w:val="30"/>
          <w:szCs w:val="30"/>
        </w:rPr>
        <w:lastRenderedPageBreak/>
        <w:t>一、征集论文范围：</w:t>
      </w:r>
    </w:p>
    <w:p w14:paraId="33B12303" w14:textId="77777777"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（一）产业发展</w:t>
      </w:r>
    </w:p>
    <w:p w14:paraId="2D990AE6"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1、适度规模化母牛养殖示范区经验介绍</w:t>
      </w:r>
    </w:p>
    <w:p w14:paraId="6343E71B" w14:textId="77777777"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2、各地政府对母牛产业化发展的扶持政策介绍</w:t>
      </w:r>
    </w:p>
    <w:p w14:paraId="3F05D093" w14:textId="77777777"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3、母牛规模化组织与品牌企业的对接模式</w:t>
      </w:r>
    </w:p>
    <w:p w14:paraId="5D1F621B" w14:textId="77777777"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4、不同牛肉产品对母牛改良及生产模式的要求</w:t>
      </w:r>
    </w:p>
    <w:p w14:paraId="18038352" w14:textId="77777777"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5、地方品种的母牛群如何合理化、商业化利用</w:t>
      </w:r>
    </w:p>
    <w:p w14:paraId="59D1AEA3" w14:textId="77777777"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6、保种与商业开发的关系</w:t>
      </w:r>
    </w:p>
    <w:p w14:paraId="5C2598DA" w14:textId="77777777"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7、地方品种牛发展现状及思路</w:t>
      </w:r>
    </w:p>
    <w:p w14:paraId="2965C3C8"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8、肉牛</w:t>
      </w:r>
      <w:r w:rsidRPr="00A418D1">
        <w:rPr>
          <w:rFonts w:ascii="仿宋_GB2312" w:eastAsia="仿宋_GB2312" w:hAnsi="宋体"/>
          <w:sz w:val="30"/>
          <w:szCs w:val="30"/>
        </w:rPr>
        <w:t>标准化养殖</w:t>
      </w:r>
      <w:r>
        <w:rPr>
          <w:rFonts w:ascii="仿宋_GB2312" w:eastAsia="仿宋_GB2312" w:hAnsi="宋体" w:hint="eastAsia"/>
          <w:sz w:val="30"/>
          <w:szCs w:val="30"/>
        </w:rPr>
        <w:t>及生产</w:t>
      </w:r>
    </w:p>
    <w:p w14:paraId="4014884D"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9、如何发展肉牛产业合作经济</w:t>
      </w:r>
    </w:p>
    <w:p w14:paraId="6EBDD819"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10、南方肉牛产业的发展思路</w:t>
      </w:r>
    </w:p>
    <w:p w14:paraId="04182707" w14:textId="77777777" w:rsidR="009A7F3F" w:rsidRPr="00F14F36"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11、优质牛产品质量追溯体系建设的战略意义</w:t>
      </w:r>
    </w:p>
    <w:p w14:paraId="2D9DF968"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12、不同区域饲草资源的开发与利用方式与乔灌草结合的三元种植结构与经验</w:t>
      </w:r>
    </w:p>
    <w:p w14:paraId="2075D7A9" w14:textId="77777777" w:rsidR="009A7F3F" w:rsidRPr="00F14F36"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13、</w:t>
      </w:r>
      <w:r w:rsidRPr="00F14F36">
        <w:rPr>
          <w:rFonts w:ascii="仿宋_GB2312" w:eastAsia="仿宋_GB2312" w:hAnsi="宋体" w:hint="eastAsia"/>
          <w:sz w:val="30"/>
          <w:szCs w:val="30"/>
        </w:rPr>
        <w:t>牛场环境与粪污利用的经济效益途径（畜牧低碳经济）</w:t>
      </w:r>
    </w:p>
    <w:p w14:paraId="63DF2FCE"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14、重大疫病防治体系建设</w:t>
      </w:r>
    </w:p>
    <w:p w14:paraId="0439E1A2"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15、肉牛和奶牛产区规划</w:t>
      </w:r>
    </w:p>
    <w:p w14:paraId="3B91B7A1"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16、如何解决我国屠宰企业的牛源稳定供应问题</w:t>
      </w:r>
    </w:p>
    <w:p w14:paraId="603E62AB"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17、中国牛业产业的人才培训思考</w:t>
      </w:r>
    </w:p>
    <w:p w14:paraId="545C2964"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18、企业发展的品牌战略</w:t>
      </w:r>
    </w:p>
    <w:p w14:paraId="6EACB10D"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19、种牛登记管理与信息共享</w:t>
      </w:r>
    </w:p>
    <w:p w14:paraId="721123C0"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20、国内外现代牛育种与遗传改良现状、发展趋势</w:t>
      </w:r>
    </w:p>
    <w:p w14:paraId="16956979"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21、牛品种与良种登记</w:t>
      </w:r>
    </w:p>
    <w:p w14:paraId="7CFC1002"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22、奶牛业发展的现状与未来</w:t>
      </w:r>
    </w:p>
    <w:p w14:paraId="6CFF20BF"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23、企业构建诚信机制经验</w:t>
      </w:r>
    </w:p>
    <w:p w14:paraId="129841B1"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24、企业品牌创建</w:t>
      </w:r>
    </w:p>
    <w:p w14:paraId="761CD1FA" w14:textId="77777777"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（二）实用技术</w:t>
      </w:r>
    </w:p>
    <w:p w14:paraId="4AB06A3E"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1、育种与胚胎移植技术</w:t>
      </w:r>
    </w:p>
    <w:p w14:paraId="6CE8A144"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2、饲养管理实用技术</w:t>
      </w:r>
    </w:p>
    <w:p w14:paraId="337F9841" w14:textId="77777777"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3、适度规模条件下，母牛的适用养殖技术及其应用效果</w:t>
      </w:r>
    </w:p>
    <w:p w14:paraId="4100B47A" w14:textId="77777777"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4、母牛早孕技术（提前怀孕、提前生产、提前分娩）在中原发达省区的可行性</w:t>
      </w:r>
    </w:p>
    <w:p w14:paraId="5318955E" w14:textId="77777777"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5、适度规模养殖条件下，犊牛早期断奶适用技术在</w:t>
      </w:r>
      <w:r>
        <w:rPr>
          <w:rFonts w:ascii="仿宋_GB2312" w:eastAsia="仿宋_GB2312" w:hAnsi="宋体" w:hint="eastAsia"/>
          <w:sz w:val="30"/>
          <w:szCs w:val="30"/>
        </w:rPr>
        <w:t>各</w:t>
      </w:r>
      <w:r w:rsidRPr="00F14F36">
        <w:rPr>
          <w:rFonts w:ascii="仿宋_GB2312" w:eastAsia="仿宋_GB2312" w:hAnsi="宋体" w:hint="eastAsia"/>
          <w:sz w:val="30"/>
          <w:szCs w:val="30"/>
        </w:rPr>
        <w:t>地区</w:t>
      </w:r>
      <w:r>
        <w:rPr>
          <w:rFonts w:ascii="仿宋_GB2312" w:eastAsia="仿宋_GB2312" w:hAnsi="宋体" w:hint="eastAsia"/>
          <w:sz w:val="30"/>
          <w:szCs w:val="30"/>
        </w:rPr>
        <w:t>的</w:t>
      </w:r>
      <w:r w:rsidRPr="00F14F36">
        <w:rPr>
          <w:rFonts w:ascii="仿宋_GB2312" w:eastAsia="仿宋_GB2312" w:hAnsi="宋体" w:hint="eastAsia"/>
          <w:sz w:val="30"/>
          <w:szCs w:val="30"/>
        </w:rPr>
        <w:t>可行性</w:t>
      </w:r>
      <w:r>
        <w:rPr>
          <w:rFonts w:ascii="仿宋_GB2312" w:eastAsia="仿宋_GB2312" w:hAnsi="宋体" w:hint="eastAsia"/>
          <w:sz w:val="30"/>
          <w:szCs w:val="30"/>
        </w:rPr>
        <w:t>分析</w:t>
      </w:r>
    </w:p>
    <w:p w14:paraId="71272A4F" w14:textId="77777777"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6、当前牛肉市场需要怎样的育肥技术和模式</w:t>
      </w:r>
    </w:p>
    <w:p w14:paraId="068F1FE0" w14:textId="77777777"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7、肉牛产业技术如何普及和推广</w:t>
      </w:r>
    </w:p>
    <w:p w14:paraId="3BC67B90" w14:textId="77777777"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8、我国消费者需要怎样的牛肉</w:t>
      </w:r>
    </w:p>
    <w:p w14:paraId="487F1D14" w14:textId="77777777"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9、肉牛饲料资源综合利用</w:t>
      </w:r>
    </w:p>
    <w:p w14:paraId="4F8B52F8" w14:textId="77777777"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10、成功经营的技术支撑</w:t>
      </w:r>
    </w:p>
    <w:p w14:paraId="2EFAD19B"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11、牛产品加工技术</w:t>
      </w:r>
    </w:p>
    <w:p w14:paraId="6747F528"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12、牛业企业的环保处理（牛场废弃物处理、新工艺、新设备的开发与应用及相关政策等）</w:t>
      </w:r>
    </w:p>
    <w:p w14:paraId="4E94F52B"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13、饲草饲料调制和日粮营养调控技术</w:t>
      </w:r>
    </w:p>
    <w:p w14:paraId="19D370AD" w14:textId="7A12CC82" w:rsidR="00312B05" w:rsidRDefault="00312B05" w:rsidP="00312B05">
      <w:pPr>
        <w:spacing w:line="560" w:lineRule="exact"/>
        <w:ind w:firstLineChars="200" w:firstLine="600"/>
        <w:rPr>
          <w:rFonts w:ascii="仿宋_GB2312" w:eastAsia="仿宋_GB2312" w:hAnsi="宋体"/>
          <w:sz w:val="30"/>
          <w:szCs w:val="30"/>
        </w:rPr>
      </w:pPr>
      <w:r>
        <w:rPr>
          <w:rFonts w:ascii="仿宋_GB2312" w:eastAsia="仿宋_GB2312" w:hAnsi="宋体"/>
          <w:sz w:val="30"/>
          <w:szCs w:val="30"/>
        </w:rPr>
        <w:t>14</w:t>
      </w:r>
      <w:r>
        <w:rPr>
          <w:rFonts w:ascii="仿宋_GB2312" w:eastAsia="仿宋_GB2312" w:hAnsi="宋体" w:hint="eastAsia"/>
          <w:sz w:val="30"/>
          <w:szCs w:val="30"/>
        </w:rPr>
        <w:t>、牛业数智化管理技术</w:t>
      </w:r>
    </w:p>
    <w:p w14:paraId="438E5334" w14:textId="77777777"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（三）牛业市场</w:t>
      </w:r>
    </w:p>
    <w:p w14:paraId="461AD0E6"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1、中国牛肉市场现状与前景分析</w:t>
      </w:r>
    </w:p>
    <w:p w14:paraId="0DCCEDAF"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sidRPr="00EB2216">
        <w:rPr>
          <w:rFonts w:ascii="仿宋_GB2312" w:eastAsia="仿宋_GB2312" w:hAnsi="宋体" w:hint="eastAsia"/>
          <w:sz w:val="30"/>
          <w:szCs w:val="30"/>
        </w:rPr>
        <w:t>肉牛产业发展如何同</w:t>
      </w:r>
      <w:bookmarkStart w:id="2" w:name="OLE_LINK4"/>
      <w:r w:rsidRPr="00EB2216">
        <w:rPr>
          <w:rFonts w:ascii="仿宋_GB2312" w:eastAsia="仿宋_GB2312" w:hAnsi="宋体" w:hint="eastAsia"/>
          <w:sz w:val="30"/>
          <w:szCs w:val="30"/>
        </w:rPr>
        <w:t>市场合理对接</w:t>
      </w:r>
      <w:bookmarkEnd w:id="2"/>
    </w:p>
    <w:p w14:paraId="09C71C28"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3、我国牦牛发展的现状与前景分析</w:t>
      </w:r>
    </w:p>
    <w:p w14:paraId="368FEC3F"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4、中国牛业的国际贸易</w:t>
      </w:r>
    </w:p>
    <w:p w14:paraId="4A66EBD4"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5、种牛贸易存在的问题分析</w:t>
      </w:r>
    </w:p>
    <w:p w14:paraId="6971EDAB" w14:textId="77777777"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（四）牛品种</w:t>
      </w:r>
    </w:p>
    <w:p w14:paraId="52B7A82A" w14:textId="77777777" w:rsidR="009A7F3F" w:rsidRPr="00E35F52" w:rsidRDefault="009A7F3F" w:rsidP="00E35F52">
      <w:pPr>
        <w:spacing w:line="560" w:lineRule="exact"/>
        <w:ind w:firstLineChars="200" w:firstLine="600"/>
        <w:rPr>
          <w:rFonts w:ascii="仿宋_GB2312" w:eastAsia="仿宋_GB2312" w:hAnsi="宋体"/>
          <w:sz w:val="30"/>
          <w:szCs w:val="30"/>
        </w:rPr>
      </w:pPr>
      <w:r w:rsidRPr="00E35F52">
        <w:rPr>
          <w:rFonts w:ascii="仿宋_GB2312" w:eastAsia="仿宋_GB2312" w:hAnsi="宋体" w:hint="eastAsia"/>
          <w:sz w:val="30"/>
          <w:szCs w:val="30"/>
        </w:rPr>
        <w:t>1</w:t>
      </w:r>
      <w:r w:rsidR="00B70C81" w:rsidRPr="00E35F52">
        <w:rPr>
          <w:rFonts w:ascii="仿宋_GB2312" w:eastAsia="仿宋_GB2312" w:hAnsi="宋体" w:hint="eastAsia"/>
          <w:sz w:val="30"/>
          <w:szCs w:val="30"/>
        </w:rPr>
        <w:t>、</w:t>
      </w:r>
      <w:r w:rsidRPr="00E35F52">
        <w:rPr>
          <w:rFonts w:ascii="仿宋_GB2312" w:eastAsia="仿宋_GB2312" w:hAnsi="宋体" w:hint="eastAsia"/>
          <w:sz w:val="30"/>
          <w:szCs w:val="30"/>
        </w:rPr>
        <w:t>乳肉兼用型牛的发展新思路（西门塔尔牛）</w:t>
      </w:r>
    </w:p>
    <w:p w14:paraId="6ABB3470" w14:textId="77777777" w:rsidR="009A7F3F" w:rsidRPr="00E35F52" w:rsidRDefault="009A7F3F" w:rsidP="00E35F52">
      <w:pPr>
        <w:spacing w:line="560" w:lineRule="exact"/>
        <w:ind w:firstLineChars="200" w:firstLine="600"/>
        <w:rPr>
          <w:rFonts w:ascii="仿宋_GB2312" w:eastAsia="仿宋_GB2312" w:hAnsi="宋体"/>
          <w:sz w:val="30"/>
          <w:szCs w:val="30"/>
        </w:rPr>
      </w:pPr>
      <w:r w:rsidRPr="00E35F52">
        <w:rPr>
          <w:rFonts w:ascii="仿宋_GB2312" w:eastAsia="仿宋_GB2312" w:hAnsi="宋体" w:hint="eastAsia"/>
          <w:sz w:val="30"/>
          <w:szCs w:val="30"/>
        </w:rPr>
        <w:t>2</w:t>
      </w:r>
      <w:r w:rsidR="00B70C81" w:rsidRPr="00E35F52">
        <w:rPr>
          <w:rFonts w:ascii="仿宋_GB2312" w:eastAsia="仿宋_GB2312" w:hAnsi="宋体" w:hint="eastAsia"/>
          <w:sz w:val="30"/>
          <w:szCs w:val="30"/>
        </w:rPr>
        <w:t>、</w:t>
      </w:r>
      <w:r w:rsidRPr="00E35F52">
        <w:rPr>
          <w:rFonts w:ascii="仿宋_GB2312" w:eastAsia="仿宋_GB2312" w:hAnsi="宋体" w:hint="eastAsia"/>
          <w:sz w:val="30"/>
          <w:szCs w:val="30"/>
        </w:rPr>
        <w:t>适合高端市场牛品种的发展新思路（日本和牛、安格斯牛等）</w:t>
      </w:r>
    </w:p>
    <w:p w14:paraId="2AD79D15" w14:textId="77777777" w:rsidR="009A7F3F" w:rsidRPr="00E35F52" w:rsidRDefault="009A7F3F" w:rsidP="00E35F52">
      <w:pPr>
        <w:spacing w:line="560" w:lineRule="exact"/>
        <w:ind w:firstLineChars="200" w:firstLine="600"/>
        <w:rPr>
          <w:rFonts w:ascii="仿宋_GB2312" w:eastAsia="仿宋_GB2312" w:hAnsi="宋体"/>
          <w:sz w:val="30"/>
          <w:szCs w:val="30"/>
        </w:rPr>
      </w:pPr>
      <w:r w:rsidRPr="00E35F52">
        <w:rPr>
          <w:rFonts w:ascii="仿宋_GB2312" w:eastAsia="仿宋_GB2312" w:hAnsi="宋体" w:hint="eastAsia"/>
          <w:sz w:val="30"/>
          <w:szCs w:val="30"/>
        </w:rPr>
        <w:t>3、地方优良品种的发展思路（鲁西牛、秦川牛、南阳牛、晋南牛、延边牛等）</w:t>
      </w:r>
    </w:p>
    <w:p w14:paraId="2CB1F3CA" w14:textId="77777777" w:rsidR="009A7F3F" w:rsidRPr="00E35F52" w:rsidRDefault="009A7F3F" w:rsidP="00E35F52">
      <w:pPr>
        <w:spacing w:line="560" w:lineRule="exact"/>
        <w:ind w:firstLineChars="200" w:firstLine="600"/>
        <w:rPr>
          <w:rFonts w:ascii="仿宋_GB2312" w:eastAsia="仿宋_GB2312" w:hAnsi="宋体"/>
          <w:sz w:val="30"/>
          <w:szCs w:val="30"/>
        </w:rPr>
      </w:pPr>
      <w:r w:rsidRPr="00E35F52">
        <w:rPr>
          <w:rFonts w:ascii="仿宋_GB2312" w:eastAsia="仿宋_GB2312" w:hAnsi="宋体" w:hint="eastAsia"/>
          <w:sz w:val="30"/>
          <w:szCs w:val="30"/>
        </w:rPr>
        <w:t>4、培育新品系的发展思路（夏南牛、延黄牛、皮南牛、BMY牛、</w:t>
      </w:r>
      <w:r w:rsidR="00281938" w:rsidRPr="00E35F52">
        <w:rPr>
          <w:rFonts w:ascii="仿宋_GB2312" w:eastAsia="仿宋_GB2312" w:hAnsi="宋体" w:hint="eastAsia"/>
          <w:sz w:val="30"/>
          <w:szCs w:val="30"/>
        </w:rPr>
        <w:t>辽育白牛、新疆褐牛、</w:t>
      </w:r>
      <w:r w:rsidRPr="00E35F52">
        <w:rPr>
          <w:rFonts w:ascii="仿宋_GB2312" w:eastAsia="仿宋_GB2312" w:hAnsi="宋体" w:hint="eastAsia"/>
          <w:sz w:val="30"/>
          <w:szCs w:val="30"/>
        </w:rPr>
        <w:t>中国西门塔尔牛等）</w:t>
      </w:r>
    </w:p>
    <w:p w14:paraId="41E258F6" w14:textId="77777777" w:rsidR="009A7F3F" w:rsidRPr="00E35F52" w:rsidRDefault="009A7F3F" w:rsidP="00E35F52">
      <w:pPr>
        <w:spacing w:line="560" w:lineRule="exact"/>
        <w:ind w:firstLineChars="200" w:firstLine="600"/>
        <w:rPr>
          <w:rFonts w:ascii="仿宋_GB2312" w:eastAsia="仿宋_GB2312" w:hAnsi="宋体"/>
          <w:sz w:val="30"/>
          <w:szCs w:val="30"/>
        </w:rPr>
      </w:pPr>
      <w:r w:rsidRPr="00E35F52">
        <w:rPr>
          <w:rFonts w:ascii="仿宋_GB2312" w:eastAsia="仿宋_GB2312" w:hAnsi="宋体" w:hint="eastAsia"/>
          <w:sz w:val="30"/>
          <w:szCs w:val="30"/>
        </w:rPr>
        <w:t>5、我国地方品种牛资源保护与利用</w:t>
      </w:r>
    </w:p>
    <w:p w14:paraId="237BA146" w14:textId="77777777"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（五）牛业与金融</w:t>
      </w:r>
    </w:p>
    <w:p w14:paraId="58E6ADFB"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1、牛业企业的融资与扩张</w:t>
      </w:r>
    </w:p>
    <w:p w14:paraId="24AD4ED3"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2、牛业与扶贫</w:t>
      </w:r>
    </w:p>
    <w:p w14:paraId="27B5C9EC"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3、基金与肉牛产业的结合</w:t>
      </w:r>
    </w:p>
    <w:p w14:paraId="04103157" w14:textId="77777777"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（六）牛产品</w:t>
      </w:r>
    </w:p>
    <w:p w14:paraId="7C417878"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1、如何生产标准化、批量化、优质化的高档牛肉</w:t>
      </w:r>
    </w:p>
    <w:p w14:paraId="76B797B0"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2、企业级、行业级牛酮体分割标准</w:t>
      </w:r>
    </w:p>
    <w:p w14:paraId="7C434421" w14:textId="77777777" w:rsidR="009A7F3F" w:rsidRPr="004C4270" w:rsidRDefault="009A7F3F" w:rsidP="00C61C0C">
      <w:pPr>
        <w:spacing w:line="560" w:lineRule="exact"/>
        <w:ind w:firstLineChars="200" w:firstLine="602"/>
        <w:rPr>
          <w:rFonts w:ascii="仿宋_GB2312" w:eastAsia="仿宋_GB2312" w:hAnsi="宋体"/>
          <w:b/>
          <w:bCs/>
          <w:sz w:val="30"/>
          <w:szCs w:val="30"/>
        </w:rPr>
      </w:pPr>
      <w:r w:rsidRPr="004C4270">
        <w:rPr>
          <w:rFonts w:ascii="仿宋_GB2312" w:eastAsia="仿宋_GB2312" w:hAnsi="宋体" w:hint="eastAsia"/>
          <w:b/>
          <w:bCs/>
          <w:sz w:val="30"/>
          <w:szCs w:val="30"/>
        </w:rPr>
        <w:t>（七）牛文化及牛肉文化</w:t>
      </w:r>
    </w:p>
    <w:p w14:paraId="3B99964E" w14:textId="77777777"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1、中国牛文化</w:t>
      </w:r>
    </w:p>
    <w:p w14:paraId="7C9E1CDB" w14:textId="7BE2DFD5" w:rsidR="009B1D7C" w:rsidRPr="004C4270" w:rsidRDefault="009A7F3F" w:rsidP="009B1D7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2、牛肉美食与人类健康</w:t>
      </w:r>
    </w:p>
    <w:p w14:paraId="326C6566" w14:textId="77777777" w:rsidR="009A7F3F" w:rsidRDefault="009A7F3F" w:rsidP="00C61C0C">
      <w:pPr>
        <w:spacing w:line="560" w:lineRule="exact"/>
        <w:ind w:left="435"/>
        <w:rPr>
          <w:rFonts w:ascii="仿宋_GB2312" w:eastAsia="仿宋_GB2312" w:hAnsi="宋体"/>
          <w:sz w:val="30"/>
          <w:szCs w:val="30"/>
        </w:rPr>
      </w:pPr>
      <w:r>
        <w:rPr>
          <w:rFonts w:ascii="宋体" w:hAnsi="宋体" w:hint="eastAsia"/>
          <w:b/>
          <w:bCs/>
          <w:sz w:val="30"/>
          <w:szCs w:val="30"/>
        </w:rPr>
        <w:t xml:space="preserve">二、来稿要求及注意事项    </w:t>
      </w:r>
    </w:p>
    <w:p w14:paraId="037AC177" w14:textId="77777777"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（一）内容：</w:t>
      </w:r>
      <w:r>
        <w:rPr>
          <w:rFonts w:ascii="仿宋_GB2312" w:eastAsia="仿宋_GB2312" w:hAnsi="宋体" w:hint="eastAsia"/>
          <w:sz w:val="30"/>
          <w:szCs w:val="30"/>
        </w:rPr>
        <w:t xml:space="preserve">结合本会目的，以牛业企业发展经验、规律为主，包括西部牛业发展特点、高新技术应用于牛业产业体系等。 </w:t>
      </w:r>
    </w:p>
    <w:p w14:paraId="175CA9AE" w14:textId="77777777"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（二）所有来稿须附首页：</w:t>
      </w:r>
      <w:r>
        <w:rPr>
          <w:rFonts w:ascii="仿宋_GB2312" w:eastAsia="仿宋_GB2312" w:hAnsi="宋体" w:hint="eastAsia"/>
          <w:sz w:val="30"/>
          <w:szCs w:val="30"/>
        </w:rPr>
        <w:t xml:space="preserve">首页内容为论文题目、作者姓名、单位地址、邮编、联系方式（办公室和家中电话、手机、传真、电子邮箱、详细通讯地址）。 </w:t>
      </w:r>
    </w:p>
    <w:p w14:paraId="58E63B92" w14:textId="77777777"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lastRenderedPageBreak/>
        <w:t>（三）</w:t>
      </w:r>
      <w:r>
        <w:rPr>
          <w:rFonts w:ascii="仿宋_GB2312" w:eastAsia="仿宋_GB2312" w:hAnsi="宋体" w:hint="eastAsia"/>
          <w:sz w:val="30"/>
          <w:szCs w:val="30"/>
        </w:rPr>
        <w:t>来稿务求论点明确，材料详实、客观，数据可靠，文字精练，语言通顺，内容不涉及国家机密。实验研究、文献综述方面不接受深层次的研究论文，宜突出实用技术和新技术在国内外的应用效果与动向。每篇文稿（含插图、表格及参考文献）一般不超过4000字，对实验研究和文献综述稿件不超过5000字。个别论文可略长。作者署名不超过5人，参考文献作者只列前三位。</w:t>
      </w:r>
    </w:p>
    <w:p w14:paraId="13883532" w14:textId="77777777"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（四）</w:t>
      </w:r>
      <w:r>
        <w:rPr>
          <w:rFonts w:ascii="仿宋_GB2312" w:eastAsia="仿宋_GB2312" w:hAnsi="宋体" w:hint="eastAsia"/>
          <w:sz w:val="30"/>
          <w:szCs w:val="30"/>
        </w:rPr>
        <w:t xml:space="preserve">稿件应附中、英文摘要及关键词；经验交流、调查报告稿件应附中文摘要及关键词。摘要的字数不超过400字。中、英文摘要内容应相互对应。关键词一般不超过5个。前3个关键词的要求为：第1个关键词应列出该文主要工作或内容所属二级学科名称；第2个关键词列出该文研究得到的成果名称；第3个关键词列出得到上述成果所采用的科学研究方法的具体名称，对综述和评述性文章，此位置分别写“综述”或“评论”。 </w:t>
      </w:r>
    </w:p>
    <w:p w14:paraId="6B6D7AE1" w14:textId="77777777"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（五）</w:t>
      </w:r>
      <w:r>
        <w:rPr>
          <w:rFonts w:ascii="仿宋_GB2312" w:eastAsia="仿宋_GB2312" w:hAnsi="宋体" w:hint="eastAsia"/>
          <w:sz w:val="30"/>
          <w:szCs w:val="30"/>
        </w:rPr>
        <w:t>来稿题目必须有英文题目和作者名，单位名称。</w:t>
      </w:r>
    </w:p>
    <w:p w14:paraId="62100106" w14:textId="77777777"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（六）</w:t>
      </w:r>
      <w:r>
        <w:rPr>
          <w:rFonts w:ascii="仿宋_GB2312" w:eastAsia="仿宋_GB2312" w:hAnsi="宋体" w:hint="eastAsia"/>
          <w:sz w:val="30"/>
          <w:szCs w:val="30"/>
        </w:rPr>
        <w:t xml:space="preserve">来稿文责自负，但本论文集编委会有权在不失原意的原则下，对来稿进行文字删改加工。如有不同意者，请来稿时声明。    </w:t>
      </w:r>
    </w:p>
    <w:p w14:paraId="1B04239D" w14:textId="77777777"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（七）</w:t>
      </w:r>
      <w:r>
        <w:rPr>
          <w:rFonts w:ascii="仿宋_GB2312" w:eastAsia="仿宋_GB2312" w:hAnsi="宋体" w:hint="eastAsia"/>
          <w:sz w:val="30"/>
          <w:szCs w:val="30"/>
        </w:rPr>
        <w:t>来稿如被采用，会尽快发给录用通知。如稿件未被采用恕不退稿，请自留底稿。</w:t>
      </w:r>
    </w:p>
    <w:p w14:paraId="08D70F1C" w14:textId="51CB65F0"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（八）</w:t>
      </w:r>
      <w:r>
        <w:rPr>
          <w:rFonts w:ascii="仿宋_GB2312" w:eastAsia="仿宋_GB2312" w:hAnsi="宋体" w:hint="eastAsia"/>
          <w:sz w:val="30"/>
          <w:szCs w:val="30"/>
        </w:rPr>
        <w:t>论文书写要求见附件《</w:t>
      </w:r>
      <w:r w:rsidR="005C591A">
        <w:rPr>
          <w:rFonts w:ascii="仿宋_GB2312" w:eastAsia="仿宋_GB2312" w:hAnsi="宋体" w:hint="eastAsia"/>
          <w:sz w:val="30"/>
          <w:szCs w:val="30"/>
        </w:rPr>
        <w:t>第</w:t>
      </w:r>
      <w:r w:rsidR="00591CA6">
        <w:rPr>
          <w:rFonts w:ascii="仿宋_GB2312" w:eastAsia="仿宋_GB2312" w:hAnsi="宋体" w:hint="eastAsia"/>
          <w:sz w:val="30"/>
          <w:szCs w:val="30"/>
        </w:rPr>
        <w:t>十六</w:t>
      </w:r>
      <w:r w:rsidR="005C591A">
        <w:rPr>
          <w:rFonts w:ascii="仿宋_GB2312" w:eastAsia="仿宋_GB2312" w:hAnsi="宋体" w:hint="eastAsia"/>
          <w:sz w:val="30"/>
          <w:szCs w:val="30"/>
        </w:rPr>
        <w:t>届</w:t>
      </w:r>
      <w:r>
        <w:rPr>
          <w:rFonts w:ascii="仿宋_GB2312" w:eastAsia="仿宋_GB2312" w:hAnsi="宋体" w:hint="eastAsia"/>
          <w:sz w:val="30"/>
          <w:szCs w:val="30"/>
        </w:rPr>
        <w:t>中国牛业发展大会论文书写格式要求》。</w:t>
      </w:r>
    </w:p>
    <w:p w14:paraId="5D48468A" w14:textId="212DBCD6" w:rsidR="009A7F3F" w:rsidRDefault="009918A1" w:rsidP="00C61C0C">
      <w:pPr>
        <w:spacing w:line="560" w:lineRule="exact"/>
        <w:ind w:firstLineChars="200" w:firstLine="602"/>
        <w:rPr>
          <w:rFonts w:ascii="仿宋_GB2312" w:eastAsia="仿宋_GB2312" w:hAnsi="宋体"/>
          <w:sz w:val="30"/>
          <w:szCs w:val="30"/>
        </w:rPr>
      </w:pPr>
      <w:r>
        <w:rPr>
          <w:rFonts w:ascii="宋体" w:hAnsi="宋体" w:hint="eastAsia"/>
          <w:b/>
          <w:bCs/>
          <w:sz w:val="30"/>
          <w:szCs w:val="30"/>
        </w:rPr>
        <w:t>三</w:t>
      </w:r>
      <w:r w:rsidR="009A7F3F">
        <w:rPr>
          <w:rFonts w:ascii="宋体" w:hAnsi="宋体" w:hint="eastAsia"/>
          <w:b/>
          <w:bCs/>
          <w:sz w:val="30"/>
          <w:szCs w:val="30"/>
        </w:rPr>
        <w:t>、截止日期：</w:t>
      </w:r>
      <w:r w:rsidR="009A7F3F">
        <w:rPr>
          <w:rFonts w:ascii="仿宋_GB2312" w:eastAsia="仿宋_GB2312" w:hAnsi="宋体" w:hint="eastAsia"/>
          <w:sz w:val="30"/>
          <w:szCs w:val="30"/>
        </w:rPr>
        <w:t>20</w:t>
      </w:r>
      <w:r w:rsidR="00591CA6">
        <w:rPr>
          <w:rFonts w:ascii="仿宋_GB2312" w:eastAsia="仿宋_GB2312" w:hAnsi="宋体"/>
          <w:sz w:val="30"/>
          <w:szCs w:val="30"/>
        </w:rPr>
        <w:t>23</w:t>
      </w:r>
      <w:r w:rsidR="009A7F3F">
        <w:rPr>
          <w:rFonts w:ascii="仿宋_GB2312" w:eastAsia="仿宋_GB2312" w:hAnsi="宋体" w:hint="eastAsia"/>
          <w:sz w:val="30"/>
          <w:szCs w:val="30"/>
        </w:rPr>
        <w:t>年</w:t>
      </w:r>
      <w:r w:rsidR="00591CA6">
        <w:rPr>
          <w:rFonts w:ascii="仿宋_GB2312" w:eastAsia="仿宋_GB2312" w:hAnsi="宋体"/>
          <w:sz w:val="30"/>
          <w:szCs w:val="30"/>
        </w:rPr>
        <w:t>10</w:t>
      </w:r>
      <w:r w:rsidR="009A7F3F">
        <w:rPr>
          <w:rFonts w:ascii="仿宋_GB2312" w:eastAsia="仿宋_GB2312" w:hAnsi="宋体" w:hint="eastAsia"/>
          <w:sz w:val="30"/>
          <w:szCs w:val="30"/>
        </w:rPr>
        <w:t>月</w:t>
      </w:r>
      <w:r w:rsidR="00774842">
        <w:rPr>
          <w:rFonts w:ascii="仿宋_GB2312" w:eastAsia="仿宋_GB2312" w:hAnsi="宋体"/>
          <w:sz w:val="30"/>
          <w:szCs w:val="30"/>
        </w:rPr>
        <w:t>2</w:t>
      </w:r>
      <w:r w:rsidR="00D64191">
        <w:rPr>
          <w:rFonts w:ascii="仿宋_GB2312" w:eastAsia="仿宋_GB2312" w:hAnsi="宋体" w:hint="eastAsia"/>
          <w:sz w:val="30"/>
          <w:szCs w:val="30"/>
        </w:rPr>
        <w:t>0</w:t>
      </w:r>
      <w:r w:rsidR="009A7F3F">
        <w:rPr>
          <w:rFonts w:ascii="仿宋_GB2312" w:eastAsia="仿宋_GB2312" w:hAnsi="宋体" w:hint="eastAsia"/>
          <w:sz w:val="30"/>
          <w:szCs w:val="30"/>
        </w:rPr>
        <w:t>日</w:t>
      </w:r>
    </w:p>
    <w:p w14:paraId="38C70B41" w14:textId="1CE08319" w:rsidR="009A7F3F" w:rsidRDefault="009918A1" w:rsidP="00C61C0C">
      <w:pPr>
        <w:spacing w:line="560" w:lineRule="exact"/>
        <w:ind w:firstLineChars="200" w:firstLine="602"/>
        <w:rPr>
          <w:rFonts w:ascii="仿宋_GB2312" w:eastAsia="仿宋_GB2312" w:hAnsi="宋体"/>
          <w:sz w:val="30"/>
          <w:szCs w:val="30"/>
        </w:rPr>
      </w:pPr>
      <w:r>
        <w:rPr>
          <w:rFonts w:ascii="宋体" w:hAnsi="宋体" w:hint="eastAsia"/>
          <w:b/>
          <w:bCs/>
          <w:sz w:val="30"/>
          <w:szCs w:val="30"/>
        </w:rPr>
        <w:t>四</w:t>
      </w:r>
      <w:r w:rsidR="009A7F3F">
        <w:rPr>
          <w:rFonts w:ascii="宋体" w:hAnsi="宋体" w:hint="eastAsia"/>
          <w:b/>
          <w:bCs/>
          <w:sz w:val="30"/>
          <w:szCs w:val="30"/>
        </w:rPr>
        <w:t>、寄送方式：</w:t>
      </w:r>
      <w:r w:rsidR="009A7F3F">
        <w:rPr>
          <w:rFonts w:ascii="仿宋_GB2312" w:eastAsia="仿宋_GB2312" w:hAnsi="宋体" w:hint="eastAsia"/>
          <w:sz w:val="30"/>
          <w:szCs w:val="30"/>
        </w:rPr>
        <w:t>请把论文定稿通过E-mail方式发送至中国畜牧业协会牛业分会秘书处。来信注明作者通讯方式，如E-MAIL、电话、传真等。</w:t>
      </w:r>
    </w:p>
    <w:p w14:paraId="47077E66" w14:textId="2DE04DA5" w:rsidR="00B94A54" w:rsidRDefault="009918A1" w:rsidP="00C61C0C">
      <w:pPr>
        <w:spacing w:line="560" w:lineRule="exact"/>
        <w:ind w:firstLineChars="200" w:firstLine="602"/>
        <w:rPr>
          <w:rFonts w:ascii="宋体" w:hAnsi="宋体"/>
          <w:b/>
          <w:bCs/>
          <w:sz w:val="30"/>
          <w:szCs w:val="30"/>
        </w:rPr>
      </w:pPr>
      <w:r>
        <w:rPr>
          <w:rFonts w:ascii="宋体" w:hAnsi="宋体" w:hint="eastAsia"/>
          <w:b/>
          <w:bCs/>
          <w:sz w:val="30"/>
          <w:szCs w:val="30"/>
        </w:rPr>
        <w:t>五</w:t>
      </w:r>
      <w:r w:rsidR="009A7F3F">
        <w:rPr>
          <w:rFonts w:ascii="宋体" w:hAnsi="宋体" w:hint="eastAsia"/>
          <w:b/>
          <w:bCs/>
          <w:sz w:val="30"/>
          <w:szCs w:val="30"/>
        </w:rPr>
        <w:t>、奖励办法：</w:t>
      </w:r>
      <w:r w:rsidR="009A7F3F">
        <w:rPr>
          <w:rFonts w:ascii="仿宋_GB2312" w:eastAsia="仿宋_GB2312" w:hAnsi="宋体" w:hint="eastAsia"/>
          <w:sz w:val="30"/>
          <w:szCs w:val="30"/>
        </w:rPr>
        <w:t>凡入选论文作者均获赠《</w:t>
      </w:r>
      <w:r w:rsidR="005C591A">
        <w:rPr>
          <w:rFonts w:ascii="仿宋_GB2312" w:eastAsia="仿宋_GB2312" w:hAnsi="宋体" w:hint="eastAsia"/>
          <w:sz w:val="30"/>
          <w:szCs w:val="30"/>
        </w:rPr>
        <w:t>第</w:t>
      </w:r>
      <w:r w:rsidR="00D64191">
        <w:rPr>
          <w:rFonts w:ascii="仿宋_GB2312" w:eastAsia="仿宋_GB2312" w:hAnsi="宋体" w:hint="eastAsia"/>
          <w:sz w:val="30"/>
          <w:szCs w:val="30"/>
        </w:rPr>
        <w:t>十</w:t>
      </w:r>
      <w:r w:rsidR="00591CA6">
        <w:rPr>
          <w:rFonts w:ascii="仿宋_GB2312" w:eastAsia="仿宋_GB2312" w:hAnsi="宋体" w:hint="eastAsia"/>
          <w:sz w:val="30"/>
          <w:szCs w:val="30"/>
        </w:rPr>
        <w:t>六</w:t>
      </w:r>
      <w:r w:rsidR="005C591A">
        <w:rPr>
          <w:rFonts w:ascii="仿宋_GB2312" w:eastAsia="仿宋_GB2312" w:hAnsi="宋体" w:hint="eastAsia"/>
          <w:sz w:val="30"/>
          <w:szCs w:val="30"/>
        </w:rPr>
        <w:t>届</w:t>
      </w:r>
      <w:r w:rsidR="009A7F3F">
        <w:rPr>
          <w:rFonts w:ascii="仿宋_GB2312" w:eastAsia="仿宋_GB2312" w:hAnsi="宋体" w:hint="eastAsia"/>
          <w:sz w:val="30"/>
          <w:szCs w:val="30"/>
        </w:rPr>
        <w:t>中国牛业发</w:t>
      </w:r>
      <w:r w:rsidR="009A7F3F">
        <w:rPr>
          <w:rFonts w:ascii="仿宋_GB2312" w:eastAsia="仿宋_GB2312" w:hAnsi="宋体" w:hint="eastAsia"/>
          <w:sz w:val="30"/>
          <w:szCs w:val="30"/>
        </w:rPr>
        <w:lastRenderedPageBreak/>
        <w:t>展大会论文集》一册。</w:t>
      </w:r>
    </w:p>
    <w:p w14:paraId="0588FB54" w14:textId="0CC31094" w:rsidR="009A7F3F" w:rsidRDefault="009918A1" w:rsidP="00C61C0C">
      <w:pPr>
        <w:spacing w:line="560" w:lineRule="exact"/>
        <w:ind w:left="435"/>
        <w:rPr>
          <w:rFonts w:ascii="仿宋_GB2312" w:eastAsia="仿宋_GB2312" w:hAnsi="宋体"/>
          <w:sz w:val="30"/>
          <w:szCs w:val="30"/>
        </w:rPr>
      </w:pPr>
      <w:bookmarkStart w:id="3" w:name="OLE_LINK3"/>
      <w:bookmarkStart w:id="4" w:name="OLE_LINK5"/>
      <w:r>
        <w:rPr>
          <w:rFonts w:ascii="宋体" w:hAnsi="宋体" w:hint="eastAsia"/>
          <w:b/>
          <w:bCs/>
          <w:sz w:val="30"/>
          <w:szCs w:val="30"/>
        </w:rPr>
        <w:t>六</w:t>
      </w:r>
      <w:r w:rsidR="009A7F3F">
        <w:rPr>
          <w:rFonts w:ascii="宋体" w:hAnsi="宋体" w:hint="eastAsia"/>
          <w:b/>
          <w:bCs/>
          <w:sz w:val="30"/>
          <w:szCs w:val="30"/>
        </w:rPr>
        <w:t>、联系</w:t>
      </w:r>
      <w:r w:rsidR="000202E5">
        <w:rPr>
          <w:rFonts w:ascii="宋体" w:hAnsi="宋体" w:hint="eastAsia"/>
          <w:b/>
          <w:bCs/>
          <w:sz w:val="30"/>
          <w:szCs w:val="30"/>
        </w:rPr>
        <w:t>方式</w:t>
      </w:r>
      <w:r w:rsidR="009A7F3F">
        <w:rPr>
          <w:rFonts w:ascii="宋体" w:hAnsi="宋体" w:hint="eastAsia"/>
          <w:b/>
          <w:bCs/>
          <w:sz w:val="30"/>
          <w:szCs w:val="30"/>
        </w:rPr>
        <w:t xml:space="preserve">： </w:t>
      </w:r>
      <w:r w:rsidR="009A7F3F">
        <w:rPr>
          <w:rFonts w:ascii="仿宋_GB2312" w:eastAsia="仿宋_GB2312" w:hAnsi="宋体" w:hint="eastAsia"/>
          <w:sz w:val="30"/>
          <w:szCs w:val="30"/>
        </w:rPr>
        <w:t xml:space="preserve">   </w:t>
      </w:r>
    </w:p>
    <w:bookmarkEnd w:id="3"/>
    <w:bookmarkEnd w:id="4"/>
    <w:p w14:paraId="731E8B0C" w14:textId="77777777" w:rsidR="00D64191" w:rsidRPr="00D64191" w:rsidRDefault="00D64191" w:rsidP="00D64191">
      <w:pPr>
        <w:spacing w:line="560" w:lineRule="exact"/>
        <w:ind w:left="435"/>
        <w:rPr>
          <w:rFonts w:ascii="仿宋_GB2312" w:eastAsia="仿宋_GB2312" w:hAnsi="宋体"/>
          <w:sz w:val="30"/>
          <w:szCs w:val="30"/>
        </w:rPr>
      </w:pPr>
      <w:r w:rsidRPr="00D64191">
        <w:rPr>
          <w:rFonts w:ascii="仿宋_GB2312" w:eastAsia="仿宋_GB2312" w:hAnsi="宋体" w:hint="eastAsia"/>
          <w:sz w:val="30"/>
          <w:szCs w:val="30"/>
        </w:rPr>
        <w:t>地　址：北京市西城区西直门外大街112号阳光大厦306室</w:t>
      </w:r>
    </w:p>
    <w:p w14:paraId="75C93AC6" w14:textId="77777777" w:rsidR="00D64191" w:rsidRPr="00D64191" w:rsidRDefault="00D64191" w:rsidP="00D64191">
      <w:pPr>
        <w:spacing w:line="560" w:lineRule="exact"/>
        <w:ind w:left="435"/>
        <w:rPr>
          <w:rFonts w:ascii="仿宋_GB2312" w:eastAsia="仿宋_GB2312" w:hAnsi="宋体"/>
          <w:sz w:val="30"/>
          <w:szCs w:val="30"/>
        </w:rPr>
      </w:pPr>
      <w:r w:rsidRPr="00D64191">
        <w:rPr>
          <w:rFonts w:ascii="仿宋_GB2312" w:eastAsia="仿宋_GB2312" w:hAnsi="宋体" w:hint="eastAsia"/>
          <w:sz w:val="30"/>
          <w:szCs w:val="30"/>
        </w:rPr>
        <w:t>邮　编：100044</w:t>
      </w:r>
    </w:p>
    <w:p w14:paraId="43E0C207" w14:textId="77777777" w:rsidR="00D64191" w:rsidRPr="00D64191" w:rsidRDefault="00D64191" w:rsidP="00D64191">
      <w:pPr>
        <w:spacing w:line="560" w:lineRule="exact"/>
        <w:ind w:left="435"/>
        <w:rPr>
          <w:rFonts w:ascii="仿宋_GB2312" w:eastAsia="仿宋_GB2312" w:hAnsi="宋体"/>
          <w:sz w:val="30"/>
          <w:szCs w:val="30"/>
        </w:rPr>
      </w:pPr>
      <w:r w:rsidRPr="00D64191">
        <w:rPr>
          <w:rFonts w:ascii="仿宋_GB2312" w:eastAsia="仿宋_GB2312" w:hAnsi="宋体" w:hint="eastAsia"/>
          <w:sz w:val="30"/>
          <w:szCs w:val="30"/>
        </w:rPr>
        <w:t xml:space="preserve">电　话：010-88388699-853　</w:t>
      </w:r>
    </w:p>
    <w:p w14:paraId="20806960" w14:textId="77777777" w:rsidR="00D64191" w:rsidRPr="00D64191" w:rsidRDefault="00D64191" w:rsidP="00D64191">
      <w:pPr>
        <w:spacing w:line="560" w:lineRule="exact"/>
        <w:ind w:left="435"/>
        <w:rPr>
          <w:rFonts w:ascii="仿宋_GB2312" w:eastAsia="仿宋_GB2312" w:hAnsi="宋体"/>
          <w:sz w:val="30"/>
          <w:szCs w:val="30"/>
        </w:rPr>
      </w:pPr>
      <w:r w:rsidRPr="00D64191">
        <w:rPr>
          <w:rFonts w:ascii="仿宋_GB2312" w:eastAsia="仿宋_GB2312" w:hAnsi="宋体" w:hint="eastAsia"/>
          <w:sz w:val="30"/>
          <w:szCs w:val="30"/>
        </w:rPr>
        <w:t>联系人：程玛丽(13810825774)   赵航(13810787539)</w:t>
      </w:r>
    </w:p>
    <w:p w14:paraId="795751C0" w14:textId="77777777" w:rsidR="00D64191" w:rsidRPr="00D64191" w:rsidRDefault="00D64191" w:rsidP="00D64191">
      <w:pPr>
        <w:spacing w:line="560" w:lineRule="exact"/>
        <w:ind w:left="435"/>
        <w:rPr>
          <w:rFonts w:ascii="仿宋_GB2312" w:eastAsia="仿宋_GB2312" w:hAnsi="宋体"/>
          <w:sz w:val="30"/>
          <w:szCs w:val="30"/>
        </w:rPr>
      </w:pPr>
      <w:r w:rsidRPr="00D64191">
        <w:rPr>
          <w:rFonts w:ascii="仿宋_GB2312" w:eastAsia="仿宋_GB2312" w:hAnsi="宋体" w:hint="eastAsia"/>
          <w:sz w:val="30"/>
          <w:szCs w:val="30"/>
        </w:rPr>
        <w:t>刘强德(13601097030)</w:t>
      </w:r>
    </w:p>
    <w:p w14:paraId="25E836B3" w14:textId="77777777" w:rsidR="00D64191" w:rsidRDefault="00D64191" w:rsidP="00D64191">
      <w:pPr>
        <w:spacing w:line="560" w:lineRule="exact"/>
        <w:ind w:left="435"/>
        <w:rPr>
          <w:rFonts w:ascii="仿宋_GB2312" w:eastAsia="仿宋_GB2312" w:hAnsi="宋体"/>
          <w:sz w:val="30"/>
          <w:szCs w:val="30"/>
        </w:rPr>
      </w:pPr>
      <w:r w:rsidRPr="00D64191">
        <w:rPr>
          <w:rFonts w:ascii="仿宋_GB2312" w:eastAsia="仿宋_GB2312" w:hAnsi="宋体" w:hint="eastAsia"/>
          <w:sz w:val="30"/>
          <w:szCs w:val="30"/>
        </w:rPr>
        <w:t>E-mail：catt@caaa.cn           网址：</w:t>
      </w:r>
      <w:hyperlink r:id="rId8" w:history="1">
        <w:r w:rsidRPr="00A6254F">
          <w:rPr>
            <w:rStyle w:val="a3"/>
            <w:rFonts w:ascii="仿宋_GB2312" w:eastAsia="仿宋_GB2312" w:hAnsi="宋体" w:hint="eastAsia"/>
            <w:sz w:val="30"/>
            <w:szCs w:val="30"/>
          </w:rPr>
          <w:t>www.caaa.cn</w:t>
        </w:r>
      </w:hyperlink>
    </w:p>
    <w:p w14:paraId="588745EC" w14:textId="56607189" w:rsidR="009A7F3F" w:rsidRDefault="009A7F3F" w:rsidP="00D64191">
      <w:pPr>
        <w:spacing w:line="560" w:lineRule="exact"/>
        <w:ind w:left="435"/>
        <w:rPr>
          <w:rFonts w:ascii="仿宋_GB2312" w:eastAsia="仿宋_GB2312" w:hAnsi="宋体"/>
          <w:sz w:val="30"/>
          <w:szCs w:val="30"/>
        </w:rPr>
      </w:pPr>
      <w:r w:rsidRPr="00A16AA5">
        <w:rPr>
          <w:rFonts w:ascii="仿宋_GB2312" w:eastAsia="仿宋_GB2312" w:hAnsi="宋体" w:hint="eastAsia"/>
          <w:b/>
          <w:sz w:val="30"/>
          <w:szCs w:val="30"/>
        </w:rPr>
        <w:t>附件：</w:t>
      </w:r>
      <w:r w:rsidR="005C591A">
        <w:rPr>
          <w:rFonts w:ascii="仿宋_GB2312" w:eastAsia="仿宋_GB2312" w:hAnsi="宋体" w:hint="eastAsia"/>
          <w:sz w:val="30"/>
          <w:szCs w:val="30"/>
        </w:rPr>
        <w:t>第</w:t>
      </w:r>
      <w:r w:rsidR="00D64191">
        <w:rPr>
          <w:rFonts w:ascii="仿宋_GB2312" w:eastAsia="仿宋_GB2312" w:hAnsi="宋体" w:hint="eastAsia"/>
          <w:sz w:val="30"/>
          <w:szCs w:val="30"/>
        </w:rPr>
        <w:t>十</w:t>
      </w:r>
      <w:r w:rsidR="00591CA6">
        <w:rPr>
          <w:rFonts w:ascii="仿宋_GB2312" w:eastAsia="仿宋_GB2312" w:hAnsi="宋体" w:hint="eastAsia"/>
          <w:sz w:val="30"/>
          <w:szCs w:val="30"/>
        </w:rPr>
        <w:t>六</w:t>
      </w:r>
      <w:r w:rsidR="005C591A">
        <w:rPr>
          <w:rFonts w:ascii="仿宋_GB2312" w:eastAsia="仿宋_GB2312" w:hAnsi="宋体" w:hint="eastAsia"/>
          <w:sz w:val="30"/>
          <w:szCs w:val="30"/>
        </w:rPr>
        <w:t>届</w:t>
      </w:r>
      <w:r w:rsidRPr="00457B07">
        <w:rPr>
          <w:rFonts w:ascii="仿宋_GB2312" w:eastAsia="仿宋_GB2312" w:hAnsi="宋体" w:hint="eastAsia"/>
          <w:sz w:val="30"/>
          <w:szCs w:val="30"/>
        </w:rPr>
        <w:t>中国牛业发展大会论文书写格式要求</w:t>
      </w:r>
    </w:p>
    <w:p w14:paraId="589240DB" w14:textId="77777777" w:rsidR="009A7F3F" w:rsidRDefault="009A7F3F" w:rsidP="009A7F3F">
      <w:pPr>
        <w:spacing w:line="520" w:lineRule="exact"/>
        <w:ind w:leftChars="207" w:left="435" w:firstLineChars="1255" w:firstLine="3765"/>
        <w:rPr>
          <w:rFonts w:ascii="仿宋_GB2312" w:eastAsia="仿宋_GB2312" w:hAnsi="宋体"/>
          <w:sz w:val="30"/>
          <w:szCs w:val="30"/>
        </w:rPr>
      </w:pPr>
    </w:p>
    <w:p w14:paraId="7DCEEE64" w14:textId="77777777" w:rsidR="009A7F3F" w:rsidRDefault="009A7F3F" w:rsidP="009A7F3F">
      <w:pPr>
        <w:spacing w:line="520" w:lineRule="exact"/>
        <w:ind w:leftChars="207" w:left="435" w:firstLineChars="1255" w:firstLine="3765"/>
        <w:rPr>
          <w:rFonts w:ascii="仿宋_GB2312" w:eastAsia="仿宋_GB2312" w:hAnsi="宋体"/>
          <w:sz w:val="30"/>
          <w:szCs w:val="30"/>
        </w:rPr>
      </w:pPr>
    </w:p>
    <w:p w14:paraId="069C748F" w14:textId="77777777" w:rsidR="009A7F3F" w:rsidRDefault="009A7F3F" w:rsidP="007367C1">
      <w:pPr>
        <w:spacing w:line="520" w:lineRule="exact"/>
        <w:ind w:leftChars="207" w:left="435" w:firstLineChars="1255" w:firstLine="3765"/>
        <w:jc w:val="right"/>
        <w:rPr>
          <w:rFonts w:ascii="仿宋_GB2312" w:eastAsia="仿宋_GB2312" w:hAnsi="宋体"/>
          <w:sz w:val="30"/>
          <w:szCs w:val="30"/>
        </w:rPr>
      </w:pPr>
      <w:r>
        <w:rPr>
          <w:rFonts w:ascii="仿宋_GB2312" w:eastAsia="仿宋_GB2312" w:hAnsi="宋体" w:hint="eastAsia"/>
          <w:sz w:val="30"/>
          <w:szCs w:val="30"/>
        </w:rPr>
        <w:t>中国畜牧业协会牛业分会</w:t>
      </w:r>
    </w:p>
    <w:p w14:paraId="3B3039BD" w14:textId="32AD4D3A" w:rsidR="009A7F3F" w:rsidRDefault="009A7F3F" w:rsidP="007367C1">
      <w:pPr>
        <w:wordWrap w:val="0"/>
        <w:spacing w:line="520" w:lineRule="exact"/>
        <w:ind w:firstLineChars="1600" w:firstLine="4800"/>
        <w:jc w:val="right"/>
        <w:rPr>
          <w:rFonts w:ascii="仿宋_GB2312" w:eastAsia="仿宋_GB2312" w:hAnsi="宋体"/>
          <w:sz w:val="30"/>
          <w:szCs w:val="30"/>
        </w:rPr>
      </w:pPr>
      <w:r>
        <w:rPr>
          <w:rFonts w:ascii="仿宋_GB2312" w:eastAsia="仿宋_GB2312" w:hAnsi="宋体" w:hint="eastAsia"/>
          <w:sz w:val="30"/>
          <w:szCs w:val="30"/>
        </w:rPr>
        <w:t>20</w:t>
      </w:r>
      <w:r w:rsidR="00591CA6">
        <w:rPr>
          <w:rFonts w:ascii="仿宋_GB2312" w:eastAsia="仿宋_GB2312" w:hAnsi="宋体"/>
          <w:sz w:val="30"/>
          <w:szCs w:val="30"/>
        </w:rPr>
        <w:t>23</w:t>
      </w:r>
      <w:r>
        <w:rPr>
          <w:rFonts w:ascii="仿宋_GB2312" w:eastAsia="仿宋_GB2312" w:hAnsi="宋体" w:hint="eastAsia"/>
          <w:sz w:val="30"/>
          <w:szCs w:val="30"/>
        </w:rPr>
        <w:t>年</w:t>
      </w:r>
      <w:r w:rsidR="00591CA6">
        <w:rPr>
          <w:rFonts w:ascii="仿宋_GB2312" w:eastAsia="仿宋_GB2312" w:hAnsi="宋体"/>
          <w:sz w:val="30"/>
          <w:szCs w:val="30"/>
        </w:rPr>
        <w:t>9</w:t>
      </w:r>
      <w:r>
        <w:rPr>
          <w:rFonts w:ascii="仿宋_GB2312" w:eastAsia="仿宋_GB2312" w:hAnsi="宋体" w:hint="eastAsia"/>
          <w:sz w:val="30"/>
          <w:szCs w:val="30"/>
        </w:rPr>
        <w:t>月</w:t>
      </w:r>
      <w:r w:rsidR="00591CA6">
        <w:rPr>
          <w:rFonts w:ascii="仿宋_GB2312" w:eastAsia="仿宋_GB2312" w:hAnsi="宋体"/>
          <w:sz w:val="30"/>
          <w:szCs w:val="30"/>
        </w:rPr>
        <w:t>12</w:t>
      </w:r>
      <w:r>
        <w:rPr>
          <w:rFonts w:ascii="仿宋_GB2312" w:eastAsia="仿宋_GB2312" w:hAnsi="宋体" w:hint="eastAsia"/>
          <w:sz w:val="30"/>
          <w:szCs w:val="30"/>
        </w:rPr>
        <w:t xml:space="preserve">日 </w:t>
      </w:r>
      <w:r w:rsidR="007367C1">
        <w:rPr>
          <w:rFonts w:ascii="仿宋_GB2312" w:eastAsia="仿宋_GB2312" w:hAnsi="宋体" w:hint="eastAsia"/>
          <w:sz w:val="30"/>
          <w:szCs w:val="30"/>
        </w:rPr>
        <w:t xml:space="preserve">  </w:t>
      </w:r>
    </w:p>
    <w:p w14:paraId="4423CC72" w14:textId="77777777" w:rsidR="009A7F3F" w:rsidRDefault="009A7F3F" w:rsidP="009A7F3F">
      <w:pPr>
        <w:spacing w:line="520" w:lineRule="exact"/>
        <w:rPr>
          <w:rFonts w:ascii="宋体" w:hAnsi="宋体"/>
          <w:b/>
          <w:bCs/>
          <w:sz w:val="30"/>
          <w:szCs w:val="30"/>
        </w:rPr>
      </w:pPr>
      <w:r>
        <w:rPr>
          <w:rFonts w:ascii="仿宋_GB2312" w:eastAsia="仿宋_GB2312" w:hAnsi="宋体"/>
          <w:sz w:val="30"/>
          <w:szCs w:val="30"/>
        </w:rPr>
        <w:br w:type="page"/>
      </w:r>
      <w:r>
        <w:rPr>
          <w:rFonts w:ascii="宋体" w:hAnsi="宋体" w:hint="eastAsia"/>
          <w:b/>
          <w:bCs/>
          <w:sz w:val="30"/>
          <w:szCs w:val="30"/>
        </w:rPr>
        <w:lastRenderedPageBreak/>
        <w:t>附件</w:t>
      </w:r>
    </w:p>
    <w:p w14:paraId="2C670184" w14:textId="5EA5A430" w:rsidR="009A7F3F" w:rsidRDefault="0074228C" w:rsidP="009A7F3F">
      <w:pPr>
        <w:spacing w:line="480" w:lineRule="exact"/>
        <w:jc w:val="center"/>
        <w:rPr>
          <w:rFonts w:ascii="宋体" w:hAnsi="宋体"/>
          <w:b/>
          <w:bCs/>
          <w:sz w:val="30"/>
          <w:szCs w:val="30"/>
        </w:rPr>
      </w:pPr>
      <w:r>
        <w:rPr>
          <w:rFonts w:ascii="宋体" w:hAnsi="宋体" w:hint="eastAsia"/>
          <w:b/>
          <w:bCs/>
          <w:sz w:val="30"/>
          <w:szCs w:val="30"/>
        </w:rPr>
        <w:t>第</w:t>
      </w:r>
      <w:r w:rsidR="00591CA6">
        <w:rPr>
          <w:rFonts w:ascii="宋体" w:hAnsi="宋体" w:hint="eastAsia"/>
          <w:b/>
          <w:bCs/>
          <w:sz w:val="30"/>
          <w:szCs w:val="30"/>
        </w:rPr>
        <w:t>十六</w:t>
      </w:r>
      <w:r>
        <w:rPr>
          <w:rFonts w:ascii="宋体" w:hAnsi="宋体" w:hint="eastAsia"/>
          <w:b/>
          <w:bCs/>
          <w:sz w:val="30"/>
          <w:szCs w:val="30"/>
        </w:rPr>
        <w:t>届</w:t>
      </w:r>
      <w:r w:rsidR="009A7F3F">
        <w:rPr>
          <w:rFonts w:ascii="宋体" w:hAnsi="宋体" w:hint="eastAsia"/>
          <w:b/>
          <w:bCs/>
          <w:sz w:val="30"/>
          <w:szCs w:val="30"/>
        </w:rPr>
        <w:t xml:space="preserve">中国牛业发展大会论文书写格式要求 </w:t>
      </w:r>
    </w:p>
    <w:p w14:paraId="06B1DF1A" w14:textId="77777777"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一、 题名</w:t>
      </w:r>
    </w:p>
    <w:p w14:paraId="70C89A1F"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1)题名应以简明、确切的词语反映文章中最重要的特定内容。</w:t>
      </w:r>
    </w:p>
    <w:p w14:paraId="5ACD8182"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2)中文题名一般不宜超过20个字，必要时可加副题名。</w:t>
      </w:r>
    </w:p>
    <w:p w14:paraId="18EE47F3"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3)英文题名应与中文题名含义一致。</w:t>
      </w:r>
    </w:p>
    <w:p w14:paraId="084AE217"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4)题名应避免使用非公知公用的缩写词、字符、代号，尽量不出现数学式和化学式。</w:t>
      </w:r>
    </w:p>
    <w:p w14:paraId="3BD0314C" w14:textId="77777777"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二、作者署名和工作单位</w:t>
      </w:r>
    </w:p>
    <w:p w14:paraId="3CFFF924"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1)文章都应有作者署名，它是文责自负和拥有著作权的标志。</w:t>
      </w:r>
    </w:p>
    <w:p w14:paraId="4305AD53"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2)作者姓名署于题名下方，团体作者的执笔人也可标注于篇首页地脚或文末，简讯等短文的作者可标注于文末。</w:t>
      </w:r>
    </w:p>
    <w:p w14:paraId="4BD71B6C"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3)对作者应标明其工作单位全称、所在城市名及邮政编码。</w:t>
      </w:r>
    </w:p>
    <w:p w14:paraId="1643E903" w14:textId="77777777"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三、摘要</w:t>
      </w:r>
    </w:p>
    <w:p w14:paraId="464EC559"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1)摘要的内容包括研究的目的、方法、结果和结论。一般应写成报道性文摘，也可以写成指示性或报道</w:t>
      </w:r>
      <w:r>
        <w:rPr>
          <w:rFonts w:ascii="仿宋_GB2312" w:eastAsia="仿宋_GB2312" w:hAnsi="宋体"/>
          <w:sz w:val="30"/>
          <w:szCs w:val="30"/>
        </w:rPr>
        <w:t>-</w:t>
      </w:r>
      <w:r>
        <w:rPr>
          <w:rFonts w:ascii="仿宋_GB2312" w:eastAsia="仿宋_GB2312" w:hAnsi="宋体" w:hint="eastAsia"/>
          <w:sz w:val="30"/>
          <w:szCs w:val="30"/>
        </w:rPr>
        <w:t>指示性文摘。</w:t>
      </w:r>
    </w:p>
    <w:p w14:paraId="56F5B615"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2)摘要应具有独立性和自明性，应是一篇完整的短文。一般不分段，不用图表和非公知公用的符号或术语，不得引用图、表、公式和参考文献的序号。</w:t>
      </w:r>
    </w:p>
    <w:p w14:paraId="2B5719CC"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3)中文摘要的篇幅：报道性的以300字左右，指示性的以100字左右，报道</w:t>
      </w:r>
      <w:r>
        <w:rPr>
          <w:rFonts w:ascii="仿宋_GB2312" w:eastAsia="仿宋_GB2312" w:hAnsi="宋体"/>
          <w:sz w:val="30"/>
          <w:szCs w:val="30"/>
        </w:rPr>
        <w:t>-</w:t>
      </w:r>
      <w:r>
        <w:rPr>
          <w:rFonts w:ascii="仿宋_GB2312" w:eastAsia="仿宋_GB2312" w:hAnsi="宋体" w:hint="eastAsia"/>
          <w:sz w:val="30"/>
          <w:szCs w:val="30"/>
        </w:rPr>
        <w:t>指示性的以200字左右为宜。</w:t>
      </w:r>
    </w:p>
    <w:p w14:paraId="47857C9A" w14:textId="77777777"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四、关键词</w:t>
      </w:r>
    </w:p>
    <w:p w14:paraId="670A0373"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1)关键词是为了便于作文献索引和检索而选取的能反映论文主题概念的词或词组，一般每篇文章标注3～8个。</w:t>
      </w:r>
    </w:p>
    <w:p w14:paraId="06333503"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2)关键词应尽量从</w:t>
      </w:r>
      <w:r>
        <w:rPr>
          <w:rFonts w:ascii="仿宋_GB2312" w:eastAsia="仿宋_GB2312" w:hAnsi="宋体"/>
          <w:sz w:val="30"/>
          <w:szCs w:val="30"/>
        </w:rPr>
        <w:t>《</w:t>
      </w:r>
      <w:r>
        <w:rPr>
          <w:rFonts w:ascii="仿宋_GB2312" w:eastAsia="仿宋_GB2312" w:hAnsi="宋体" w:hint="eastAsia"/>
          <w:sz w:val="30"/>
          <w:szCs w:val="30"/>
        </w:rPr>
        <w:t>汉语主题词表</w:t>
      </w:r>
      <w:r>
        <w:rPr>
          <w:rFonts w:ascii="仿宋_GB2312" w:eastAsia="仿宋_GB2312" w:hAnsi="宋体"/>
          <w:sz w:val="30"/>
          <w:szCs w:val="30"/>
        </w:rPr>
        <w:t>》</w:t>
      </w:r>
      <w:r>
        <w:rPr>
          <w:rFonts w:ascii="仿宋_GB2312" w:eastAsia="仿宋_GB2312" w:hAnsi="宋体" w:hint="eastAsia"/>
          <w:sz w:val="30"/>
          <w:szCs w:val="30"/>
        </w:rPr>
        <w:t>等词表中选用规范词——数词，未被词表收录的新学科、新技术中的重要术语和地区、人物、文献、产品及重要数据名称，也可作为关键词标出。</w:t>
      </w:r>
    </w:p>
    <w:p w14:paraId="75856C95" w14:textId="77777777"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五、分类号</w:t>
      </w:r>
    </w:p>
    <w:p w14:paraId="1AA38EAF"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1)为便于检索和编制索引，建议按</w:t>
      </w:r>
      <w:r>
        <w:rPr>
          <w:rFonts w:ascii="仿宋_GB2312" w:eastAsia="仿宋_GB2312" w:hAnsi="宋体"/>
          <w:sz w:val="30"/>
          <w:szCs w:val="30"/>
        </w:rPr>
        <w:t>《</w:t>
      </w:r>
      <w:r>
        <w:rPr>
          <w:rFonts w:ascii="仿宋_GB2312" w:eastAsia="仿宋_GB2312" w:hAnsi="宋体" w:hint="eastAsia"/>
          <w:sz w:val="30"/>
          <w:szCs w:val="30"/>
        </w:rPr>
        <w:t>中国图书资料分类法</w:t>
      </w:r>
      <w:r>
        <w:rPr>
          <w:rFonts w:ascii="仿宋_GB2312" w:eastAsia="仿宋_GB2312" w:hAnsi="宋体"/>
          <w:sz w:val="30"/>
          <w:szCs w:val="30"/>
        </w:rPr>
        <w:t>》</w:t>
      </w:r>
      <w:r>
        <w:rPr>
          <w:rFonts w:ascii="仿宋_GB2312" w:eastAsia="仿宋_GB2312" w:hAnsi="宋体" w:hint="eastAsia"/>
          <w:sz w:val="30"/>
          <w:szCs w:val="30"/>
        </w:rPr>
        <w:t>对</w:t>
      </w:r>
      <w:r>
        <w:rPr>
          <w:rFonts w:ascii="仿宋_GB2312" w:eastAsia="仿宋_GB2312" w:hAnsi="宋体" w:hint="eastAsia"/>
          <w:sz w:val="30"/>
          <w:szCs w:val="30"/>
        </w:rPr>
        <w:lastRenderedPageBreak/>
        <w:t>每篇论文编印分类号。</w:t>
      </w:r>
    </w:p>
    <w:p w14:paraId="0FA5A179"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2)一篇涉及多学科的论文，可以给出几个分类号，主分类号应排在第1位。</w:t>
      </w:r>
    </w:p>
    <w:p w14:paraId="603066E3" w14:textId="77777777"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六、引言</w:t>
      </w:r>
    </w:p>
    <w:p w14:paraId="3BE7FAB1"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1)引言的内容可包括研究的目的、意义、主要方法、范围和背景等。应开门见山，言简意赅，不要与摘要雷同或成为摘要的注释，避免公式推导和一般性的方法介绍。</w:t>
      </w:r>
    </w:p>
    <w:p w14:paraId="4D89252D"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2)引言的序号可以不编，也可以编为“</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_GB2312" w:eastAsia="仿宋_GB2312" w:hAnsi="宋体" w:hint="eastAsia"/>
            <w:sz w:val="30"/>
            <w:szCs w:val="30"/>
          </w:rPr>
          <w:t>0”</w:t>
        </w:r>
      </w:smartTag>
      <w:r>
        <w:rPr>
          <w:rFonts w:ascii="仿宋_GB2312" w:eastAsia="仿宋_GB2312" w:hAnsi="宋体" w:hint="eastAsia"/>
          <w:sz w:val="30"/>
          <w:szCs w:val="30"/>
        </w:rPr>
        <w:t>，不编序号时“引言”二字可以省略。</w:t>
      </w:r>
    </w:p>
    <w:p w14:paraId="21641720" w14:textId="77777777"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七、论文的正文部分</w:t>
      </w:r>
    </w:p>
    <w:p w14:paraId="17D7F00F"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论文的正文部分系指引言之后、结论之前的部分，是论文的核心。</w:t>
      </w:r>
    </w:p>
    <w:p w14:paraId="52212339"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1 层次标题</w:t>
      </w:r>
    </w:p>
    <w:p w14:paraId="5C512F40"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1)层次标题是指除文章题名外的不同级别的分标题。各级层次标题都要简短明确，同一层次的标题应尽可能“排比”，即词（或词组）类型相同（或相近），意义相关，语气一致。</w:t>
      </w:r>
    </w:p>
    <w:p w14:paraId="318E9985"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2）各层次标题一律用阿拉伯数字连续编号；不同层次的数字之间用小圆点“.”相隔，末位数字后面不加点号，如“</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False"/>
          <w:attr w:name="SourceValue" w:val="2.1"/>
          <w:attr w:name="UnitName" w:val="”"/>
        </w:smartTagPr>
        <w:r>
          <w:rPr>
            <w:rFonts w:ascii="仿宋_GB2312" w:eastAsia="仿宋_GB2312" w:hAnsi="宋体" w:hint="eastAsia"/>
            <w:sz w:val="30"/>
            <w:szCs w:val="30"/>
          </w:rPr>
          <w:t>2.1”</w:t>
        </w:r>
      </w:smartTag>
      <w:r>
        <w:rPr>
          <w:rFonts w:ascii="仿宋_GB2312" w:eastAsia="仿宋_GB2312" w:hAnsi="宋体" w:hint="eastAsia"/>
          <w:sz w:val="30"/>
          <w:szCs w:val="30"/>
        </w:rPr>
        <w:t>，“</w:t>
      </w: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宋体" w:hint="eastAsia"/>
            <w:sz w:val="30"/>
            <w:szCs w:val="30"/>
          </w:rPr>
          <w:t>3.</w:t>
        </w:r>
        <w:smartTag w:uri="urn:schemas-microsoft-com:office:smarttags" w:element="chmetcnv">
          <w:smartTagPr>
            <w:attr w:name="TCSC" w:val="0"/>
            <w:attr w:name="NumberType" w:val="1"/>
            <w:attr w:name="Negative" w:val="False"/>
            <w:attr w:name="HasSpace" w:val="False"/>
            <w:attr w:name="SourceValue" w:val="1.2"/>
            <w:attr w:name="UnitName" w:val="”"/>
          </w:smartTagPr>
          <w:r>
            <w:rPr>
              <w:rFonts w:ascii="仿宋_GB2312" w:eastAsia="仿宋_GB2312" w:hAnsi="宋体" w:hint="eastAsia"/>
              <w:sz w:val="30"/>
              <w:szCs w:val="30"/>
            </w:rPr>
            <w:t>1.2</w:t>
          </w:r>
        </w:smartTag>
      </w:smartTag>
      <w:r>
        <w:rPr>
          <w:rFonts w:ascii="仿宋_GB2312" w:eastAsia="仿宋_GB2312" w:hAnsi="宋体" w:hint="eastAsia"/>
          <w:sz w:val="30"/>
          <w:szCs w:val="30"/>
        </w:rPr>
        <w:t>”等；各层次的序号均左顶格起排，后空1个字距接排标题。</w:t>
      </w:r>
    </w:p>
    <w:p w14:paraId="46A4530A"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3)各层次标题要醒目，其字体与非标题要有区别。</w:t>
      </w:r>
    </w:p>
    <w:p w14:paraId="29128AAA"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2  插图的规范化</w:t>
      </w:r>
    </w:p>
    <w:p w14:paraId="475E620A"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科技书刊中使用最广泛的是函数图。无论是理、工还是农、医都用函数曲线表达诸变量之间的静态的或动态的关系，所以它的规范化设计值得编辑人员审理图稿时给予特别关注。具体到我们的杂志，有以下几个方面的工作。</w:t>
      </w:r>
    </w:p>
    <w:p w14:paraId="0AE40203"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1)图序与图题。函数图应与其他插图，包括照片类插图一起，按文中出现的先后顺序给出图序与图题。图序与图题之间空1个字距，不用任何点号。文章中的图序码应使用阿拉伯数字，全文插图连续编码如“图</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、“图</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smartTag>
      <w:r>
        <w:rPr>
          <w:rFonts w:ascii="仿宋_GB2312" w:eastAsia="仿宋_GB2312" w:hAnsi="宋体" w:hint="eastAsia"/>
          <w:sz w:val="30"/>
          <w:szCs w:val="30"/>
        </w:rPr>
        <w:t>，如全文只有1幅图，编为“图</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w:t>
      </w:r>
    </w:p>
    <w:p w14:paraId="682DE18A"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lastRenderedPageBreak/>
        <w:t xml:space="preserve">    图题应该简洁明确，具有较好的说明性和专指性。</w:t>
      </w:r>
    </w:p>
    <w:p w14:paraId="43324AAB"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标目。标目是说明坐标轴物理意义的必要项目。通常，它要求由物理量的名称或符号和相应的单位组成。物理量的符号以斜体字母标注，尽量避免使用中、外文的文字段（或缩写字母）来代替符号。单位符号应该使用正体字母标注。量与单位采用比值的形式。例如：I/A，I是物理量电流的符号，A是单位安培。标目应该与被标注的坐标轴平行，居中排印在坐标轴与标值的外侧。横坐标的标目自左至右；纵坐标的标目自下而上，顶左底右。</w:t>
      </w:r>
    </w:p>
    <w:p w14:paraId="7B674C4C"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标值。标值是坐标轴定量表述的尺度。标值应防止标注得过分密集，以至于数码前后连接，辨识不清。标值排印在坐标轴外侧，紧靠标值短线的地方。为了清晰，标值的数字应尽量不超过3位数，或小数点以后不多余1个“</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_GB2312" w:eastAsia="仿宋_GB2312" w:hAnsi="宋体" w:hint="eastAsia"/>
            <w:sz w:val="30"/>
            <w:szCs w:val="30"/>
          </w:rPr>
          <w:t>0”</w:t>
        </w:r>
      </w:smartTag>
      <w:r>
        <w:rPr>
          <w:rFonts w:ascii="仿宋_GB2312" w:eastAsia="仿宋_GB2312" w:hAnsi="宋体" w:hint="eastAsia"/>
          <w:sz w:val="30"/>
          <w:szCs w:val="30"/>
        </w:rPr>
        <w:t>。为此，要认真选取标目中的单位。如用</w:t>
      </w:r>
      <w:smartTag w:uri="urn:schemas-microsoft-com:office:smarttags" w:element="chmetcnv">
        <w:smartTagPr>
          <w:attr w:name="TCSC" w:val="0"/>
          <w:attr w:name="NumberType" w:val="1"/>
          <w:attr w:name="Negative" w:val="False"/>
          <w:attr w:name="HasSpace" w:val="True"/>
          <w:attr w:name="SourceValue" w:val="30"/>
          <w:attr w:name="UnitName" w:val="km"/>
        </w:smartTagPr>
        <w:r>
          <w:rPr>
            <w:rFonts w:ascii="仿宋_GB2312" w:eastAsia="仿宋_GB2312" w:hAnsi="宋体" w:hint="eastAsia"/>
            <w:sz w:val="30"/>
            <w:szCs w:val="30"/>
          </w:rPr>
          <w:t>30 km</w:t>
        </w:r>
      </w:smartTag>
      <w:r>
        <w:rPr>
          <w:rFonts w:ascii="仿宋_GB2312" w:eastAsia="仿宋_GB2312" w:hAnsi="宋体" w:hint="eastAsia"/>
          <w:sz w:val="30"/>
          <w:szCs w:val="30"/>
        </w:rPr>
        <w:t xml:space="preserve">代替30 </w:t>
      </w:r>
      <w:smartTag w:uri="urn:schemas-microsoft-com:office:smarttags" w:element="chmetcnv">
        <w:smartTagPr>
          <w:attr w:name="TCSC" w:val="0"/>
          <w:attr w:name="NumberType" w:val="1"/>
          <w:attr w:name="Negative" w:val="False"/>
          <w:attr w:name="HasSpace" w:val="True"/>
          <w:attr w:name="SourceValue" w:val="0"/>
          <w:attr w:name="UnitName" w:val="m"/>
        </w:smartTagPr>
        <w:r>
          <w:rPr>
            <w:rFonts w:ascii="仿宋_GB2312" w:eastAsia="仿宋_GB2312" w:hAnsi="宋体" w:hint="eastAsia"/>
            <w:sz w:val="30"/>
            <w:szCs w:val="30"/>
          </w:rPr>
          <w:t>000 m</w:t>
        </w:r>
      </w:smartTag>
      <w:r>
        <w:rPr>
          <w:rFonts w:ascii="仿宋_GB2312" w:eastAsia="仿宋_GB2312" w:hAnsi="宋体" w:hint="eastAsia"/>
          <w:sz w:val="30"/>
          <w:szCs w:val="30"/>
        </w:rPr>
        <w:t>，用</w:t>
      </w:r>
      <w:smartTag w:uri="urn:schemas-microsoft-com:office:smarttags" w:element="chmetcnv">
        <w:smartTagPr>
          <w:attr w:name="TCSC" w:val="0"/>
          <w:attr w:name="NumberType" w:val="1"/>
          <w:attr w:name="Negative" w:val="False"/>
          <w:attr w:name="HasSpace" w:val="False"/>
          <w:attr w:name="SourceValue" w:val="5"/>
          <w:attr w:name="UnitName" w:val="g"/>
        </w:smartTagPr>
        <w:r>
          <w:rPr>
            <w:rFonts w:ascii="仿宋_GB2312" w:eastAsia="仿宋_GB2312" w:hAnsi="宋体" w:hint="eastAsia"/>
            <w:sz w:val="30"/>
            <w:szCs w:val="30"/>
          </w:rPr>
          <w:t>5g</w:t>
        </w:r>
      </w:smartTag>
      <w:r>
        <w:rPr>
          <w:rFonts w:ascii="仿宋_GB2312" w:eastAsia="仿宋_GB2312" w:hAnsi="宋体" w:hint="eastAsia"/>
          <w:sz w:val="30"/>
          <w:szCs w:val="30"/>
        </w:rPr>
        <w:t>代替0.005 mg等。</w:t>
      </w:r>
    </w:p>
    <w:p w14:paraId="44E6F911"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函数曲线的叠置。为了加强对比效果，也为了节省版面，可以把由参变量引起的数条函数曲线描绘在同一幅函数图上，但是当一族曲线的线型比较接近，或因曲线数量过多，挤在一起将影响阅读时，也可以如图所示的那样共用一个坐标轴，而分立另外一个坐标轴。这实际上是把几幅分散的函数曲线叠置起来。(见图1).</w:t>
      </w:r>
    </w:p>
    <w:p w14:paraId="6BEDEBF2"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当同一幅图上有2条（或2类）以上不同函数关系曲线时，它们的纵座标需要分立于图面的两侧。这时右侧纵坐标标目与标值仍应放在坐标轴的外侧——右侧，标目的编排方法仍与左侧纵坐标的相同，即字型按“顶左底右”的方式排列（见图2）。</w:t>
      </w:r>
    </w:p>
    <w:p w14:paraId="21819CE6"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5)插图的其他问题。插图缩小后应使图中的文字和符号的大小接近于6号字：太小，不便于阅读；太大，显得粗笨不雅。</w:t>
      </w:r>
    </w:p>
    <w:p w14:paraId="046CF24F"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为了便于阅读，也为了版式美观，每幅插图一般都应随文编排，即插图出现在文中第1次提到它的文字段的后面，而不宜先见插图后见文，或把插图远移到后续的文章段落中去，也不宜把全文所有插图集中起来在文末一起给出。如果文中提及插图的所在页面剩下的版面太小，已放不下插图时，可以把插图顺序后移。</w:t>
      </w:r>
    </w:p>
    <w:p w14:paraId="62987080" w14:textId="77777777" w:rsidR="009A7F3F" w:rsidRDefault="009A7F3F" w:rsidP="009A7F3F">
      <w:pPr>
        <w:rPr>
          <w:szCs w:val="21"/>
        </w:rPr>
      </w:pPr>
      <w:r>
        <w:rPr>
          <w:rFonts w:ascii="仿宋_GB2312" w:eastAsia="仿宋_GB2312" w:hAnsi="宋体" w:hint="eastAsia"/>
          <w:sz w:val="30"/>
          <w:szCs w:val="30"/>
        </w:rPr>
        <w:lastRenderedPageBreak/>
        <w:t xml:space="preserve">    小幅面的串文图可根据情况随意地放在版心的上、中、下部或偏居某一角落，但如放在页面顶部时应偏靠右边，以便于在左边安排引述插图的串文段落。对于一个页面上具有多张小幅面的情况，两图斜角方向对置有利于形成版面的左右均衡，使读者赏心悦目。</w:t>
      </w:r>
    </w:p>
    <w:p w14:paraId="0D20DA5C" w14:textId="77777777" w:rsidR="009A7F3F" w:rsidRDefault="009A7F3F" w:rsidP="009A7F3F">
      <w:pPr>
        <w:rPr>
          <w:color w:val="FF6600"/>
          <w:szCs w:val="21"/>
        </w:rPr>
      </w:pPr>
      <w:r>
        <w:rPr>
          <w:rFonts w:hint="eastAsia"/>
          <w:noProof/>
          <w:color w:val="FF6600"/>
          <w:szCs w:val="21"/>
        </w:rPr>
        <w:drawing>
          <wp:inline distT="0" distB="0" distL="0" distR="0" wp14:anchorId="0864C893" wp14:editId="1D6F64E7">
            <wp:extent cx="2333625" cy="2324100"/>
            <wp:effectExtent l="0" t="0" r="9525" b="0"/>
            <wp:docPr id="4" name="图片 4" descr="P127%20图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27%20图7－b"/>
                    <pic:cNvPicPr>
                      <a:picLocks noChangeAspect="1" noChangeArrowheads="1"/>
                    </pic:cNvPicPr>
                  </pic:nvPicPr>
                  <pic:blipFill>
                    <a:blip r:embed="rId9">
                      <a:lum contrast="12000"/>
                      <a:extLst>
                        <a:ext uri="{28A0092B-C50C-407E-A947-70E740481C1C}">
                          <a14:useLocalDpi xmlns:a14="http://schemas.microsoft.com/office/drawing/2010/main" val="0"/>
                        </a:ext>
                      </a:extLst>
                    </a:blip>
                    <a:srcRect b="6102"/>
                    <a:stretch>
                      <a:fillRect/>
                    </a:stretch>
                  </pic:blipFill>
                  <pic:spPr bwMode="auto">
                    <a:xfrm>
                      <a:off x="0" y="0"/>
                      <a:ext cx="2333625" cy="2324100"/>
                    </a:xfrm>
                    <a:prstGeom prst="rect">
                      <a:avLst/>
                    </a:prstGeom>
                    <a:noFill/>
                    <a:ln>
                      <a:noFill/>
                    </a:ln>
                  </pic:spPr>
                </pic:pic>
              </a:graphicData>
            </a:graphic>
          </wp:inline>
        </w:drawing>
      </w:r>
      <w:r>
        <w:rPr>
          <w:rFonts w:hint="eastAsia"/>
          <w:noProof/>
          <w:color w:val="FF6600"/>
          <w:szCs w:val="21"/>
        </w:rPr>
        <w:drawing>
          <wp:inline distT="0" distB="0" distL="0" distR="0" wp14:anchorId="557EBFEB" wp14:editId="7A957794">
            <wp:extent cx="2781300" cy="2181225"/>
            <wp:effectExtent l="0" t="0" r="0" b="9525"/>
            <wp:docPr id="3" name="图片 3" descr="P128%20图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28%20图8"/>
                    <pic:cNvPicPr>
                      <a:picLocks noChangeAspect="1" noChangeArrowheads="1"/>
                    </pic:cNvPicPr>
                  </pic:nvPicPr>
                  <pic:blipFill>
                    <a:blip r:embed="rId10">
                      <a:lum contrast="12000"/>
                      <a:extLst>
                        <a:ext uri="{28A0092B-C50C-407E-A947-70E740481C1C}">
                          <a14:useLocalDpi xmlns:a14="http://schemas.microsoft.com/office/drawing/2010/main" val="0"/>
                        </a:ext>
                      </a:extLst>
                    </a:blip>
                    <a:srcRect b="8640"/>
                    <a:stretch>
                      <a:fillRect/>
                    </a:stretch>
                  </pic:blipFill>
                  <pic:spPr bwMode="auto">
                    <a:xfrm>
                      <a:off x="0" y="0"/>
                      <a:ext cx="2781300" cy="2181225"/>
                    </a:xfrm>
                    <a:prstGeom prst="rect">
                      <a:avLst/>
                    </a:prstGeom>
                    <a:noFill/>
                    <a:ln>
                      <a:noFill/>
                    </a:ln>
                  </pic:spPr>
                </pic:pic>
              </a:graphicData>
            </a:graphic>
          </wp:inline>
        </w:drawing>
      </w:r>
    </w:p>
    <w:p w14:paraId="4065B890" w14:textId="77777777" w:rsidR="009A7F3F" w:rsidRDefault="009A7F3F" w:rsidP="009A7F3F">
      <w:pPr>
        <w:rPr>
          <w:sz w:val="15"/>
          <w:szCs w:val="15"/>
        </w:rPr>
      </w:pPr>
      <w:r>
        <w:rPr>
          <w:rFonts w:hint="eastAsia"/>
          <w:sz w:val="15"/>
          <w:szCs w:val="15"/>
        </w:rPr>
        <w:t xml:space="preserve">              </w:t>
      </w:r>
      <w:r>
        <w:rPr>
          <w:rFonts w:hint="eastAsia"/>
          <w:sz w:val="15"/>
          <w:szCs w:val="15"/>
        </w:rPr>
        <w:t>图</w:t>
      </w:r>
      <w:r>
        <w:rPr>
          <w:rFonts w:hint="eastAsia"/>
          <w:sz w:val="15"/>
          <w:szCs w:val="15"/>
        </w:rPr>
        <w:t xml:space="preserve">1  </w:t>
      </w:r>
      <w:r>
        <w:rPr>
          <w:rFonts w:hint="eastAsia"/>
          <w:sz w:val="15"/>
          <w:szCs w:val="15"/>
        </w:rPr>
        <w:t>公用横坐标的曲线</w:t>
      </w:r>
      <w:r>
        <w:rPr>
          <w:rFonts w:hint="eastAsia"/>
          <w:sz w:val="15"/>
          <w:szCs w:val="15"/>
        </w:rPr>
        <w:t xml:space="preserve">                             </w:t>
      </w:r>
      <w:r>
        <w:rPr>
          <w:rFonts w:hint="eastAsia"/>
          <w:sz w:val="15"/>
          <w:szCs w:val="15"/>
        </w:rPr>
        <w:t>图</w:t>
      </w:r>
      <w:r>
        <w:rPr>
          <w:rFonts w:hint="eastAsia"/>
          <w:sz w:val="15"/>
          <w:szCs w:val="15"/>
        </w:rPr>
        <w:t xml:space="preserve">2  </w:t>
      </w:r>
      <w:r>
        <w:rPr>
          <w:rFonts w:hint="eastAsia"/>
          <w:sz w:val="15"/>
          <w:szCs w:val="15"/>
        </w:rPr>
        <w:t>分立坐标举例</w:t>
      </w:r>
    </w:p>
    <w:p w14:paraId="19664E8C"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3  表格的规范化 </w:t>
      </w:r>
    </w:p>
    <w:p w14:paraId="04E0095C"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表格也可简称为表，是记录数据或事物分类等的一种有效表达方式。科技期刊中应当普遍采用三线表。</w:t>
      </w:r>
    </w:p>
    <w:p w14:paraId="21D3C040"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三线表的规范格式（见图3）</w:t>
      </w:r>
    </w:p>
    <w:p w14:paraId="53832912" w14:textId="77777777" w:rsidR="009A7F3F" w:rsidRDefault="009A7F3F" w:rsidP="009A7F3F">
      <w:pPr>
        <w:jc w:val="center"/>
        <w:rPr>
          <w:szCs w:val="21"/>
        </w:rPr>
      </w:pPr>
      <w:r>
        <w:rPr>
          <w:rFonts w:hint="eastAsia"/>
          <w:noProof/>
          <w:szCs w:val="21"/>
        </w:rPr>
        <w:drawing>
          <wp:inline distT="0" distB="0" distL="0" distR="0" wp14:anchorId="53196778" wp14:editId="10A3466E">
            <wp:extent cx="4457700" cy="2362200"/>
            <wp:effectExtent l="0" t="0" r="0" b="0"/>
            <wp:docPr id="2" name="图片 2" descr="P134%20图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34%20图2%20"/>
                    <pic:cNvPicPr>
                      <a:picLocks noChangeAspect="1" noChangeArrowheads="1"/>
                    </pic:cNvPicPr>
                  </pic:nvPicPr>
                  <pic:blipFill>
                    <a:blip r:embed="rId11">
                      <a:lum contrast="18000"/>
                      <a:extLst>
                        <a:ext uri="{28A0092B-C50C-407E-A947-70E740481C1C}">
                          <a14:useLocalDpi xmlns:a14="http://schemas.microsoft.com/office/drawing/2010/main" val="0"/>
                        </a:ext>
                      </a:extLst>
                    </a:blip>
                    <a:srcRect t="6934" b="8131"/>
                    <a:stretch>
                      <a:fillRect/>
                    </a:stretch>
                  </pic:blipFill>
                  <pic:spPr bwMode="auto">
                    <a:xfrm>
                      <a:off x="0" y="0"/>
                      <a:ext cx="4457700" cy="2362200"/>
                    </a:xfrm>
                    <a:prstGeom prst="rect">
                      <a:avLst/>
                    </a:prstGeom>
                    <a:noFill/>
                    <a:ln>
                      <a:noFill/>
                    </a:ln>
                  </pic:spPr>
                </pic:pic>
              </a:graphicData>
            </a:graphic>
          </wp:inline>
        </w:drawing>
      </w:r>
    </w:p>
    <w:p w14:paraId="69CB7EDD" w14:textId="77777777" w:rsidR="009A7F3F" w:rsidRDefault="009A7F3F" w:rsidP="009A7F3F">
      <w:pPr>
        <w:jc w:val="center"/>
        <w:rPr>
          <w:sz w:val="15"/>
          <w:szCs w:val="15"/>
        </w:rPr>
      </w:pPr>
      <w:r>
        <w:rPr>
          <w:rFonts w:hint="eastAsia"/>
          <w:sz w:val="15"/>
          <w:szCs w:val="15"/>
        </w:rPr>
        <w:t>图</w:t>
      </w:r>
      <w:r>
        <w:rPr>
          <w:rFonts w:hint="eastAsia"/>
          <w:sz w:val="15"/>
          <w:szCs w:val="15"/>
        </w:rPr>
        <w:t xml:space="preserve">3  </w:t>
      </w:r>
      <w:r>
        <w:rPr>
          <w:rFonts w:hint="eastAsia"/>
          <w:sz w:val="15"/>
          <w:szCs w:val="15"/>
        </w:rPr>
        <w:t>三线表的构成要素</w:t>
      </w:r>
    </w:p>
    <w:p w14:paraId="3ECED0A2"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1)表序与表题。表序即表格的序号。表序按表格在文中出现的先后用从“</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开始的阿拉伯数字连续编号，如“表</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、“表</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smartTag>
      <w:r>
        <w:rPr>
          <w:rFonts w:ascii="仿宋_GB2312" w:eastAsia="仿宋_GB2312" w:hAnsi="宋体" w:hint="eastAsia"/>
          <w:sz w:val="30"/>
          <w:szCs w:val="30"/>
        </w:rPr>
        <w:t>等。如果一篇论文中只有1个表格，则表序编为“表</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w:t>
      </w:r>
    </w:p>
    <w:p w14:paraId="1F26A35B"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lastRenderedPageBreak/>
        <w:t xml:space="preserve">    表题指表格的名称。表题应准确得体，简短精练。每个表格必须有表序和表题。表序和表题之间留1个汉字的空格，其间不用任何点号。</w:t>
      </w:r>
    </w:p>
    <w:p w14:paraId="28559EFF"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表序和表题排在顶线的上方，对整个表格左右居中，其总体长度不宜超过表格的宽度，若表题字数太多则应转行排。 </w:t>
      </w:r>
    </w:p>
    <w:p w14:paraId="77C1544E"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项目栏。项目栏指表格顶线与栏目线之间的部分。项目栏中一般要放置多个“栏目”。所谓栏目，就是该栏的名称，它反映了表身中该栏信息的特征或属性。其中有的栏目相当于插图中的标目，由量的名称或符号和单位组成。量的名称或符号与单位符号采用“量/单位”的形式。</w:t>
      </w:r>
    </w:p>
    <w:p w14:paraId="4ECC32F7"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3)表身。三线表内底线以上、栏目线以下的部分叫做表身，它容纳了表格内的大部分或绝大部分信息，是表格的主体。</w:t>
      </w:r>
    </w:p>
    <w:p w14:paraId="0ACC06AD"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a. 表身内的数字一般不带单位，百分数也不带百分号（％），应把单位符号和百分号等归并在栏目中。如果表格内全部栏目中的单位均相同，则可把共同的单位提出来标识在表格顶线上方的右端（右缩1个汉字的空格，不加“单位”二字）。</w:t>
      </w:r>
    </w:p>
    <w:p w14:paraId="5028BF43"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b. 表身中同一栏各行的数值一般都处在共同的标目之下，应以个数位（或小数点）或者以“～”等符号为准上下对齐，而且有效位数应相等；同一栏的数值处在不同的标目下，不要求上下对齐，可各自相对栏宽居中排。</w:t>
      </w:r>
    </w:p>
    <w:p w14:paraId="463E51D2"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c. 上下左右相邻栏内的文字或数字相同时，应重复写出，不可使用“同上”、“同左”等字样。</w:t>
      </w:r>
    </w:p>
    <w:p w14:paraId="5FD5AF04"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 xml:space="preserve">4)表注。有关标准规定：必要时，应将表中的符号、标记、代码，以及需要说明的事项，以最简练的文字，横排于表题下作为表注，也可附注于表下。如果表注不是1条，则可给每条标注编上序号，顺序排在表下，末尾加句号。 </w:t>
      </w:r>
    </w:p>
    <w:p w14:paraId="23A82278" w14:textId="77777777"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4  量和单位</w:t>
      </w:r>
    </w:p>
    <w:p w14:paraId="043F0C4C"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1)量的符号一般为单个拉丁字母或希腊字母，并一律采用斜体（pH例外）。为区别不同情况，可在量符号上附加角标。</w:t>
      </w:r>
    </w:p>
    <w:p w14:paraId="01C763A7"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2)在表达量值时，在公式、图、表和文字叙述中，一律使用单位的国际符号，且无例外地用正体。单位符号与数值间要留适当间隙。</w:t>
      </w:r>
    </w:p>
    <w:p w14:paraId="5946BF4E"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3)不许对单位的符号进行修饰，如加缩写点、角标、复数形式，或在组合单位符号中插入化学元素符号等说明性记号，等等。</w:t>
      </w:r>
    </w:p>
    <w:p w14:paraId="0A25F1AD"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4)不能把ppm，pphm，ppb，ppt等缩写字作单位使用。</w:t>
      </w:r>
    </w:p>
    <w:p w14:paraId="6CB53843"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5)词头不得独立使用，也不能重叠使用。</w:t>
      </w:r>
    </w:p>
    <w:p w14:paraId="7F3C47F0"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6)组合单位的分母中一般不加词头，一般也不在分子分母同时加词头。如kJ/mol 不写成J/mmol，MV/m不写成 kV/mm。</w:t>
      </w:r>
    </w:p>
    <w:p w14:paraId="46A0CE14" w14:textId="77777777" w:rsidR="009A7F3F" w:rsidRDefault="009A7F3F" w:rsidP="009A7F3F">
      <w:pPr>
        <w:spacing w:line="480" w:lineRule="exact"/>
        <w:jc w:val="center"/>
        <w:rPr>
          <w:rFonts w:ascii="仿宋_GB2312" w:eastAsia="仿宋_GB2312" w:hAnsi="宋体"/>
          <w:sz w:val="30"/>
          <w:szCs w:val="30"/>
        </w:rPr>
      </w:pPr>
      <w:r>
        <w:rPr>
          <w:rFonts w:ascii="仿宋_GB2312" w:eastAsia="仿宋_GB2312" w:hAnsi="宋体" w:hint="eastAsia"/>
          <w:sz w:val="30"/>
          <w:szCs w:val="30"/>
        </w:rPr>
        <w:t xml:space="preserve"> 常用单位</w:t>
      </w:r>
    </w:p>
    <w:tbl>
      <w:tblPr>
        <w:tblW w:w="6480" w:type="dxa"/>
        <w:jc w:val="center"/>
        <w:tblLook w:val="0000" w:firstRow="0" w:lastRow="0" w:firstColumn="0" w:lastColumn="0" w:noHBand="0" w:noVBand="0"/>
      </w:tblPr>
      <w:tblGrid>
        <w:gridCol w:w="2160"/>
        <w:gridCol w:w="2140"/>
        <w:gridCol w:w="2180"/>
      </w:tblGrid>
      <w:tr w:rsidR="009A7F3F" w:rsidRPr="003374FA" w14:paraId="6398CC1A" w14:textId="77777777" w:rsidTr="00C65E2D">
        <w:trPr>
          <w:trHeight w:val="285"/>
          <w:jc w:val="center"/>
        </w:trPr>
        <w:tc>
          <w:tcPr>
            <w:tcW w:w="2160" w:type="dxa"/>
            <w:tcBorders>
              <w:top w:val="single" w:sz="4" w:space="0" w:color="auto"/>
              <w:left w:val="nil"/>
              <w:bottom w:val="single" w:sz="4" w:space="0" w:color="auto"/>
              <w:right w:val="nil"/>
            </w:tcBorders>
            <w:noWrap/>
            <w:vAlign w:val="center"/>
          </w:tcPr>
          <w:p w14:paraId="220EB3E7"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量的名称</w:t>
            </w:r>
          </w:p>
        </w:tc>
        <w:tc>
          <w:tcPr>
            <w:tcW w:w="2140" w:type="dxa"/>
            <w:tcBorders>
              <w:top w:val="single" w:sz="4" w:space="0" w:color="auto"/>
              <w:left w:val="nil"/>
              <w:bottom w:val="single" w:sz="4" w:space="0" w:color="auto"/>
              <w:right w:val="nil"/>
            </w:tcBorders>
            <w:noWrap/>
            <w:vAlign w:val="center"/>
          </w:tcPr>
          <w:p w14:paraId="29186835"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单位名称</w:t>
            </w:r>
          </w:p>
        </w:tc>
        <w:tc>
          <w:tcPr>
            <w:tcW w:w="2180" w:type="dxa"/>
            <w:tcBorders>
              <w:top w:val="single" w:sz="4" w:space="0" w:color="auto"/>
              <w:left w:val="nil"/>
              <w:bottom w:val="single" w:sz="4" w:space="0" w:color="auto"/>
              <w:right w:val="nil"/>
            </w:tcBorders>
            <w:noWrap/>
            <w:vAlign w:val="center"/>
          </w:tcPr>
          <w:p w14:paraId="28627114"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单位符号</w:t>
            </w:r>
          </w:p>
        </w:tc>
      </w:tr>
      <w:tr w:rsidR="009A7F3F" w:rsidRPr="003374FA" w14:paraId="519EDA71" w14:textId="77777777" w:rsidTr="00C65E2D">
        <w:trPr>
          <w:trHeight w:val="285"/>
          <w:jc w:val="center"/>
        </w:trPr>
        <w:tc>
          <w:tcPr>
            <w:tcW w:w="2160" w:type="dxa"/>
            <w:tcBorders>
              <w:top w:val="nil"/>
              <w:left w:val="nil"/>
              <w:bottom w:val="nil"/>
              <w:right w:val="nil"/>
            </w:tcBorders>
            <w:noWrap/>
            <w:vAlign w:val="center"/>
          </w:tcPr>
          <w:p w14:paraId="77DAF85A"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长度</w:t>
            </w:r>
          </w:p>
        </w:tc>
        <w:tc>
          <w:tcPr>
            <w:tcW w:w="2140" w:type="dxa"/>
            <w:tcBorders>
              <w:top w:val="nil"/>
              <w:left w:val="nil"/>
              <w:bottom w:val="nil"/>
              <w:right w:val="nil"/>
            </w:tcBorders>
            <w:noWrap/>
            <w:vAlign w:val="center"/>
          </w:tcPr>
          <w:p w14:paraId="26769F04"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米</w:t>
            </w:r>
          </w:p>
        </w:tc>
        <w:tc>
          <w:tcPr>
            <w:tcW w:w="2180" w:type="dxa"/>
            <w:tcBorders>
              <w:top w:val="nil"/>
              <w:left w:val="nil"/>
              <w:bottom w:val="nil"/>
              <w:right w:val="nil"/>
            </w:tcBorders>
            <w:noWrap/>
            <w:vAlign w:val="center"/>
          </w:tcPr>
          <w:p w14:paraId="2FBF1BEB"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m</w:t>
            </w:r>
          </w:p>
        </w:tc>
      </w:tr>
      <w:tr w:rsidR="009A7F3F" w:rsidRPr="003374FA" w14:paraId="629E4D5F" w14:textId="77777777" w:rsidTr="00C65E2D">
        <w:trPr>
          <w:trHeight w:val="285"/>
          <w:jc w:val="center"/>
        </w:trPr>
        <w:tc>
          <w:tcPr>
            <w:tcW w:w="2160" w:type="dxa"/>
            <w:tcBorders>
              <w:top w:val="nil"/>
              <w:left w:val="nil"/>
              <w:bottom w:val="nil"/>
              <w:right w:val="nil"/>
            </w:tcBorders>
            <w:noWrap/>
            <w:vAlign w:val="center"/>
          </w:tcPr>
          <w:p w14:paraId="562EF33F"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质量</w:t>
            </w:r>
          </w:p>
        </w:tc>
        <w:tc>
          <w:tcPr>
            <w:tcW w:w="2140" w:type="dxa"/>
            <w:tcBorders>
              <w:top w:val="nil"/>
              <w:left w:val="nil"/>
              <w:bottom w:val="nil"/>
              <w:right w:val="nil"/>
            </w:tcBorders>
            <w:noWrap/>
            <w:vAlign w:val="center"/>
          </w:tcPr>
          <w:p w14:paraId="62369BB0"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千克（公斤），吨</w:t>
            </w:r>
          </w:p>
        </w:tc>
        <w:tc>
          <w:tcPr>
            <w:tcW w:w="2180" w:type="dxa"/>
            <w:tcBorders>
              <w:top w:val="nil"/>
              <w:left w:val="nil"/>
              <w:bottom w:val="nil"/>
              <w:right w:val="nil"/>
            </w:tcBorders>
            <w:noWrap/>
            <w:vAlign w:val="center"/>
          </w:tcPr>
          <w:p w14:paraId="63FFAD0A"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kg，t</w:t>
            </w:r>
          </w:p>
        </w:tc>
      </w:tr>
      <w:tr w:rsidR="009A7F3F" w:rsidRPr="003374FA" w14:paraId="78F837F3" w14:textId="77777777" w:rsidTr="00C65E2D">
        <w:trPr>
          <w:trHeight w:val="285"/>
          <w:jc w:val="center"/>
        </w:trPr>
        <w:tc>
          <w:tcPr>
            <w:tcW w:w="2160" w:type="dxa"/>
            <w:tcBorders>
              <w:top w:val="nil"/>
              <w:left w:val="nil"/>
              <w:bottom w:val="nil"/>
              <w:right w:val="nil"/>
            </w:tcBorders>
            <w:noWrap/>
            <w:vAlign w:val="center"/>
          </w:tcPr>
          <w:p w14:paraId="6E0B0F33"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时间</w:t>
            </w:r>
          </w:p>
        </w:tc>
        <w:tc>
          <w:tcPr>
            <w:tcW w:w="2140" w:type="dxa"/>
            <w:tcBorders>
              <w:top w:val="nil"/>
              <w:left w:val="nil"/>
              <w:bottom w:val="nil"/>
              <w:right w:val="nil"/>
            </w:tcBorders>
            <w:noWrap/>
            <w:vAlign w:val="center"/>
          </w:tcPr>
          <w:p w14:paraId="395301A0"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秒</w:t>
            </w:r>
          </w:p>
        </w:tc>
        <w:tc>
          <w:tcPr>
            <w:tcW w:w="2180" w:type="dxa"/>
            <w:tcBorders>
              <w:top w:val="nil"/>
              <w:left w:val="nil"/>
              <w:bottom w:val="nil"/>
              <w:right w:val="nil"/>
            </w:tcBorders>
            <w:noWrap/>
            <w:vAlign w:val="center"/>
          </w:tcPr>
          <w:p w14:paraId="407238C2"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s</w:t>
            </w:r>
          </w:p>
        </w:tc>
      </w:tr>
      <w:tr w:rsidR="009A7F3F" w:rsidRPr="003374FA" w14:paraId="39BC45D5" w14:textId="77777777" w:rsidTr="00C65E2D">
        <w:trPr>
          <w:trHeight w:val="285"/>
          <w:jc w:val="center"/>
        </w:trPr>
        <w:tc>
          <w:tcPr>
            <w:tcW w:w="2160" w:type="dxa"/>
            <w:tcBorders>
              <w:top w:val="nil"/>
              <w:left w:val="nil"/>
              <w:bottom w:val="nil"/>
              <w:right w:val="nil"/>
            </w:tcBorders>
            <w:noWrap/>
            <w:vAlign w:val="center"/>
          </w:tcPr>
          <w:p w14:paraId="65875E6F" w14:textId="77777777" w:rsidR="009A7F3F" w:rsidRPr="003374FA" w:rsidRDefault="009A7F3F" w:rsidP="00A026FA">
            <w:pPr>
              <w:widowControl/>
              <w:spacing w:line="480" w:lineRule="exact"/>
              <w:jc w:val="left"/>
              <w:rPr>
                <w:rFonts w:asciiTheme="minorEastAsia" w:hAnsiTheme="minorEastAsia"/>
                <w:szCs w:val="30"/>
              </w:rPr>
            </w:pPr>
          </w:p>
        </w:tc>
        <w:tc>
          <w:tcPr>
            <w:tcW w:w="2140" w:type="dxa"/>
            <w:tcBorders>
              <w:top w:val="nil"/>
              <w:left w:val="nil"/>
              <w:bottom w:val="nil"/>
              <w:right w:val="nil"/>
            </w:tcBorders>
            <w:noWrap/>
            <w:vAlign w:val="center"/>
          </w:tcPr>
          <w:p w14:paraId="153EBD97"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分</w:t>
            </w:r>
          </w:p>
        </w:tc>
        <w:tc>
          <w:tcPr>
            <w:tcW w:w="2180" w:type="dxa"/>
            <w:tcBorders>
              <w:top w:val="nil"/>
              <w:left w:val="nil"/>
              <w:bottom w:val="nil"/>
              <w:right w:val="nil"/>
            </w:tcBorders>
            <w:noWrap/>
            <w:vAlign w:val="center"/>
          </w:tcPr>
          <w:p w14:paraId="22FC0799"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min</w:t>
            </w:r>
          </w:p>
        </w:tc>
      </w:tr>
      <w:tr w:rsidR="009A7F3F" w:rsidRPr="003374FA" w14:paraId="522FB6E1" w14:textId="77777777" w:rsidTr="00C65E2D">
        <w:trPr>
          <w:trHeight w:val="285"/>
          <w:jc w:val="center"/>
        </w:trPr>
        <w:tc>
          <w:tcPr>
            <w:tcW w:w="2160" w:type="dxa"/>
            <w:tcBorders>
              <w:top w:val="nil"/>
              <w:left w:val="nil"/>
              <w:bottom w:val="nil"/>
              <w:right w:val="nil"/>
            </w:tcBorders>
            <w:noWrap/>
            <w:vAlign w:val="center"/>
          </w:tcPr>
          <w:p w14:paraId="06CFE0A3" w14:textId="77777777" w:rsidR="009A7F3F" w:rsidRPr="003374FA" w:rsidRDefault="009A7F3F" w:rsidP="00A026FA">
            <w:pPr>
              <w:widowControl/>
              <w:spacing w:line="480" w:lineRule="exact"/>
              <w:jc w:val="left"/>
              <w:rPr>
                <w:rFonts w:asciiTheme="minorEastAsia" w:hAnsiTheme="minorEastAsia"/>
                <w:szCs w:val="30"/>
              </w:rPr>
            </w:pPr>
          </w:p>
        </w:tc>
        <w:tc>
          <w:tcPr>
            <w:tcW w:w="2140" w:type="dxa"/>
            <w:tcBorders>
              <w:top w:val="nil"/>
              <w:left w:val="nil"/>
              <w:bottom w:val="nil"/>
              <w:right w:val="nil"/>
            </w:tcBorders>
            <w:noWrap/>
            <w:vAlign w:val="center"/>
          </w:tcPr>
          <w:p w14:paraId="6FE98209"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[小]时</w:t>
            </w:r>
          </w:p>
        </w:tc>
        <w:tc>
          <w:tcPr>
            <w:tcW w:w="2180" w:type="dxa"/>
            <w:tcBorders>
              <w:top w:val="nil"/>
              <w:left w:val="nil"/>
              <w:bottom w:val="nil"/>
              <w:right w:val="nil"/>
            </w:tcBorders>
            <w:noWrap/>
            <w:vAlign w:val="center"/>
          </w:tcPr>
          <w:p w14:paraId="6C2E95A4"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h</w:t>
            </w:r>
          </w:p>
        </w:tc>
      </w:tr>
      <w:tr w:rsidR="009A7F3F" w:rsidRPr="003374FA" w14:paraId="64E73C96" w14:textId="77777777" w:rsidTr="00C65E2D">
        <w:trPr>
          <w:trHeight w:val="285"/>
          <w:jc w:val="center"/>
        </w:trPr>
        <w:tc>
          <w:tcPr>
            <w:tcW w:w="2160" w:type="dxa"/>
            <w:tcBorders>
              <w:top w:val="nil"/>
              <w:left w:val="nil"/>
              <w:bottom w:val="nil"/>
              <w:right w:val="nil"/>
            </w:tcBorders>
            <w:noWrap/>
            <w:vAlign w:val="center"/>
          </w:tcPr>
          <w:p w14:paraId="0B87AAC9"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时间</w:t>
            </w:r>
          </w:p>
        </w:tc>
        <w:tc>
          <w:tcPr>
            <w:tcW w:w="2140" w:type="dxa"/>
            <w:tcBorders>
              <w:top w:val="nil"/>
              <w:left w:val="nil"/>
              <w:bottom w:val="nil"/>
              <w:right w:val="nil"/>
            </w:tcBorders>
            <w:noWrap/>
            <w:vAlign w:val="center"/>
          </w:tcPr>
          <w:p w14:paraId="6EAF9AB6"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日，（天）</w:t>
            </w:r>
          </w:p>
        </w:tc>
        <w:tc>
          <w:tcPr>
            <w:tcW w:w="2180" w:type="dxa"/>
            <w:tcBorders>
              <w:top w:val="nil"/>
              <w:left w:val="nil"/>
              <w:bottom w:val="nil"/>
              <w:right w:val="nil"/>
            </w:tcBorders>
            <w:noWrap/>
            <w:vAlign w:val="center"/>
          </w:tcPr>
          <w:p w14:paraId="61CF3313"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d</w:t>
            </w:r>
          </w:p>
        </w:tc>
      </w:tr>
      <w:tr w:rsidR="009A7F3F" w:rsidRPr="003374FA" w14:paraId="6BF5DCFC" w14:textId="77777777" w:rsidTr="00C65E2D">
        <w:trPr>
          <w:trHeight w:val="285"/>
          <w:jc w:val="center"/>
        </w:trPr>
        <w:tc>
          <w:tcPr>
            <w:tcW w:w="2160" w:type="dxa"/>
            <w:tcBorders>
              <w:top w:val="nil"/>
              <w:left w:val="nil"/>
              <w:bottom w:val="nil"/>
              <w:right w:val="nil"/>
            </w:tcBorders>
            <w:noWrap/>
            <w:vAlign w:val="center"/>
          </w:tcPr>
          <w:p w14:paraId="160C3AC9"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电流</w:t>
            </w:r>
          </w:p>
        </w:tc>
        <w:tc>
          <w:tcPr>
            <w:tcW w:w="2140" w:type="dxa"/>
            <w:tcBorders>
              <w:top w:val="nil"/>
              <w:left w:val="nil"/>
              <w:bottom w:val="nil"/>
              <w:right w:val="nil"/>
            </w:tcBorders>
            <w:noWrap/>
            <w:vAlign w:val="center"/>
          </w:tcPr>
          <w:p w14:paraId="6E37E0E5"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安[培]</w:t>
            </w:r>
          </w:p>
        </w:tc>
        <w:tc>
          <w:tcPr>
            <w:tcW w:w="2180" w:type="dxa"/>
            <w:tcBorders>
              <w:top w:val="nil"/>
              <w:left w:val="nil"/>
              <w:bottom w:val="nil"/>
              <w:right w:val="nil"/>
            </w:tcBorders>
            <w:noWrap/>
            <w:vAlign w:val="center"/>
          </w:tcPr>
          <w:p w14:paraId="70BBB403"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A</w:t>
            </w:r>
          </w:p>
        </w:tc>
      </w:tr>
      <w:tr w:rsidR="009A7F3F" w:rsidRPr="003374FA" w14:paraId="2DDAEA37" w14:textId="77777777" w:rsidTr="00C65E2D">
        <w:trPr>
          <w:trHeight w:val="285"/>
          <w:jc w:val="center"/>
        </w:trPr>
        <w:tc>
          <w:tcPr>
            <w:tcW w:w="2160" w:type="dxa"/>
            <w:tcBorders>
              <w:top w:val="nil"/>
              <w:left w:val="nil"/>
              <w:bottom w:val="nil"/>
              <w:right w:val="nil"/>
            </w:tcBorders>
            <w:noWrap/>
            <w:vAlign w:val="center"/>
          </w:tcPr>
          <w:p w14:paraId="522BA02A"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物质的量</w:t>
            </w:r>
          </w:p>
        </w:tc>
        <w:tc>
          <w:tcPr>
            <w:tcW w:w="2140" w:type="dxa"/>
            <w:tcBorders>
              <w:top w:val="nil"/>
              <w:left w:val="nil"/>
              <w:bottom w:val="nil"/>
              <w:right w:val="nil"/>
            </w:tcBorders>
            <w:noWrap/>
            <w:vAlign w:val="center"/>
          </w:tcPr>
          <w:p w14:paraId="6EAC4565"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摩[尔]</w:t>
            </w:r>
          </w:p>
        </w:tc>
        <w:tc>
          <w:tcPr>
            <w:tcW w:w="2180" w:type="dxa"/>
            <w:tcBorders>
              <w:top w:val="nil"/>
              <w:left w:val="nil"/>
              <w:bottom w:val="nil"/>
              <w:right w:val="nil"/>
            </w:tcBorders>
            <w:noWrap/>
            <w:vAlign w:val="center"/>
          </w:tcPr>
          <w:p w14:paraId="61EF213C"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szCs w:val="30"/>
              </w:rPr>
              <w:t>M</w:t>
            </w:r>
            <w:r w:rsidRPr="003374FA">
              <w:rPr>
                <w:rFonts w:asciiTheme="minorEastAsia" w:hAnsiTheme="minorEastAsia" w:hint="eastAsia"/>
                <w:szCs w:val="30"/>
              </w:rPr>
              <w:t>ol</w:t>
            </w:r>
          </w:p>
        </w:tc>
      </w:tr>
      <w:tr w:rsidR="009A7F3F" w:rsidRPr="003374FA" w14:paraId="3E5BC70B" w14:textId="77777777" w:rsidTr="00C65E2D">
        <w:trPr>
          <w:trHeight w:val="285"/>
          <w:jc w:val="center"/>
        </w:trPr>
        <w:tc>
          <w:tcPr>
            <w:tcW w:w="2160" w:type="dxa"/>
            <w:tcBorders>
              <w:top w:val="nil"/>
              <w:left w:val="nil"/>
              <w:bottom w:val="nil"/>
              <w:right w:val="nil"/>
            </w:tcBorders>
            <w:noWrap/>
            <w:vAlign w:val="center"/>
          </w:tcPr>
          <w:p w14:paraId="42581DA4"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压力，压强，应力</w:t>
            </w:r>
          </w:p>
        </w:tc>
        <w:tc>
          <w:tcPr>
            <w:tcW w:w="2140" w:type="dxa"/>
            <w:tcBorders>
              <w:top w:val="nil"/>
              <w:left w:val="nil"/>
              <w:bottom w:val="nil"/>
              <w:right w:val="nil"/>
            </w:tcBorders>
            <w:noWrap/>
            <w:vAlign w:val="center"/>
          </w:tcPr>
          <w:p w14:paraId="4975F85D"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帕[斯卡]</w:t>
            </w:r>
          </w:p>
        </w:tc>
        <w:tc>
          <w:tcPr>
            <w:tcW w:w="2180" w:type="dxa"/>
            <w:tcBorders>
              <w:top w:val="nil"/>
              <w:left w:val="nil"/>
              <w:bottom w:val="nil"/>
              <w:right w:val="nil"/>
            </w:tcBorders>
            <w:noWrap/>
            <w:vAlign w:val="center"/>
          </w:tcPr>
          <w:p w14:paraId="4DC5F52E"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Pa</w:t>
            </w:r>
          </w:p>
        </w:tc>
      </w:tr>
      <w:tr w:rsidR="009A7F3F" w:rsidRPr="003374FA" w14:paraId="7A418CB5" w14:textId="77777777" w:rsidTr="00C65E2D">
        <w:trPr>
          <w:trHeight w:val="285"/>
          <w:jc w:val="center"/>
        </w:trPr>
        <w:tc>
          <w:tcPr>
            <w:tcW w:w="2160" w:type="dxa"/>
            <w:tcBorders>
              <w:top w:val="nil"/>
              <w:left w:val="nil"/>
              <w:bottom w:val="nil"/>
              <w:right w:val="nil"/>
            </w:tcBorders>
            <w:noWrap/>
            <w:vAlign w:val="center"/>
          </w:tcPr>
          <w:p w14:paraId="61EFC8F6"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能[量]，功，热量</w:t>
            </w:r>
          </w:p>
        </w:tc>
        <w:tc>
          <w:tcPr>
            <w:tcW w:w="2140" w:type="dxa"/>
            <w:tcBorders>
              <w:top w:val="nil"/>
              <w:left w:val="nil"/>
              <w:bottom w:val="nil"/>
              <w:right w:val="nil"/>
            </w:tcBorders>
            <w:noWrap/>
            <w:vAlign w:val="center"/>
          </w:tcPr>
          <w:p w14:paraId="46FD68A6"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焦[耳]</w:t>
            </w:r>
          </w:p>
        </w:tc>
        <w:tc>
          <w:tcPr>
            <w:tcW w:w="2180" w:type="dxa"/>
            <w:tcBorders>
              <w:top w:val="nil"/>
              <w:left w:val="nil"/>
              <w:bottom w:val="nil"/>
              <w:right w:val="nil"/>
            </w:tcBorders>
            <w:noWrap/>
            <w:vAlign w:val="center"/>
          </w:tcPr>
          <w:p w14:paraId="02A475A2"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J</w:t>
            </w:r>
          </w:p>
        </w:tc>
      </w:tr>
      <w:tr w:rsidR="009A7F3F" w:rsidRPr="003374FA" w14:paraId="6B635E34" w14:textId="77777777" w:rsidTr="00C65E2D">
        <w:trPr>
          <w:trHeight w:val="285"/>
          <w:jc w:val="center"/>
        </w:trPr>
        <w:tc>
          <w:tcPr>
            <w:tcW w:w="2160" w:type="dxa"/>
            <w:tcBorders>
              <w:top w:val="nil"/>
              <w:left w:val="nil"/>
              <w:bottom w:val="nil"/>
              <w:right w:val="nil"/>
            </w:tcBorders>
            <w:noWrap/>
            <w:vAlign w:val="center"/>
          </w:tcPr>
          <w:p w14:paraId="3FBFF930"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摄氏温度</w:t>
            </w:r>
          </w:p>
        </w:tc>
        <w:tc>
          <w:tcPr>
            <w:tcW w:w="2140" w:type="dxa"/>
            <w:tcBorders>
              <w:top w:val="nil"/>
              <w:left w:val="nil"/>
              <w:bottom w:val="nil"/>
              <w:right w:val="nil"/>
            </w:tcBorders>
            <w:noWrap/>
            <w:vAlign w:val="center"/>
          </w:tcPr>
          <w:p w14:paraId="42C7738A"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摄氏度</w:t>
            </w:r>
          </w:p>
        </w:tc>
        <w:tc>
          <w:tcPr>
            <w:tcW w:w="2180" w:type="dxa"/>
            <w:tcBorders>
              <w:top w:val="nil"/>
              <w:left w:val="nil"/>
              <w:bottom w:val="nil"/>
              <w:right w:val="nil"/>
            </w:tcBorders>
            <w:noWrap/>
            <w:vAlign w:val="center"/>
          </w:tcPr>
          <w:p w14:paraId="78A84B72"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szCs w:val="30"/>
              </w:rPr>
              <w:t>℃</w:t>
            </w:r>
          </w:p>
        </w:tc>
      </w:tr>
      <w:tr w:rsidR="009A7F3F" w:rsidRPr="003374FA" w14:paraId="38365F04" w14:textId="77777777" w:rsidTr="00C65E2D">
        <w:trPr>
          <w:trHeight w:val="285"/>
          <w:jc w:val="center"/>
        </w:trPr>
        <w:tc>
          <w:tcPr>
            <w:tcW w:w="2160" w:type="dxa"/>
            <w:tcBorders>
              <w:top w:val="nil"/>
              <w:left w:val="nil"/>
              <w:bottom w:val="nil"/>
              <w:right w:val="nil"/>
            </w:tcBorders>
            <w:noWrap/>
            <w:vAlign w:val="center"/>
          </w:tcPr>
          <w:p w14:paraId="5E21F297"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面积</w:t>
            </w:r>
          </w:p>
        </w:tc>
        <w:tc>
          <w:tcPr>
            <w:tcW w:w="2140" w:type="dxa"/>
            <w:tcBorders>
              <w:top w:val="nil"/>
              <w:left w:val="nil"/>
              <w:bottom w:val="nil"/>
              <w:right w:val="nil"/>
            </w:tcBorders>
            <w:noWrap/>
            <w:vAlign w:val="center"/>
          </w:tcPr>
          <w:p w14:paraId="576474E1"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公顷</w:t>
            </w:r>
          </w:p>
        </w:tc>
        <w:tc>
          <w:tcPr>
            <w:tcW w:w="2180" w:type="dxa"/>
            <w:tcBorders>
              <w:top w:val="nil"/>
              <w:left w:val="nil"/>
              <w:bottom w:val="nil"/>
              <w:right w:val="nil"/>
            </w:tcBorders>
            <w:noWrap/>
            <w:vAlign w:val="center"/>
          </w:tcPr>
          <w:p w14:paraId="43E4B667"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hm2</w:t>
            </w:r>
          </w:p>
        </w:tc>
      </w:tr>
      <w:tr w:rsidR="009A7F3F" w:rsidRPr="003374FA" w14:paraId="486D9EFE" w14:textId="77777777" w:rsidTr="00C65E2D">
        <w:trPr>
          <w:trHeight w:val="285"/>
          <w:jc w:val="center"/>
        </w:trPr>
        <w:tc>
          <w:tcPr>
            <w:tcW w:w="2160" w:type="dxa"/>
            <w:tcBorders>
              <w:top w:val="nil"/>
              <w:left w:val="nil"/>
              <w:bottom w:val="single" w:sz="4" w:space="0" w:color="auto"/>
              <w:right w:val="nil"/>
            </w:tcBorders>
            <w:noWrap/>
            <w:vAlign w:val="center"/>
          </w:tcPr>
          <w:p w14:paraId="18E7EEE1"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体积</w:t>
            </w:r>
          </w:p>
        </w:tc>
        <w:tc>
          <w:tcPr>
            <w:tcW w:w="2140" w:type="dxa"/>
            <w:tcBorders>
              <w:top w:val="nil"/>
              <w:left w:val="nil"/>
              <w:bottom w:val="single" w:sz="4" w:space="0" w:color="auto"/>
              <w:right w:val="nil"/>
            </w:tcBorders>
            <w:noWrap/>
            <w:vAlign w:val="center"/>
          </w:tcPr>
          <w:p w14:paraId="14C3D9B9"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升</w:t>
            </w:r>
          </w:p>
        </w:tc>
        <w:tc>
          <w:tcPr>
            <w:tcW w:w="2180" w:type="dxa"/>
            <w:tcBorders>
              <w:top w:val="nil"/>
              <w:left w:val="nil"/>
              <w:bottom w:val="single" w:sz="4" w:space="0" w:color="auto"/>
              <w:right w:val="nil"/>
            </w:tcBorders>
            <w:noWrap/>
            <w:vAlign w:val="center"/>
          </w:tcPr>
          <w:p w14:paraId="38845996" w14:textId="77777777"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L,(l)</w:t>
            </w:r>
          </w:p>
        </w:tc>
      </w:tr>
    </w:tbl>
    <w:p w14:paraId="30794566" w14:textId="77777777" w:rsidR="009A7F3F" w:rsidRDefault="009A7F3F" w:rsidP="00991E60">
      <w:pPr>
        <w:spacing w:line="480" w:lineRule="exact"/>
        <w:rPr>
          <w:rFonts w:ascii="仿宋_GB2312" w:eastAsia="仿宋_GB2312" w:hAnsi="宋体"/>
          <w:sz w:val="30"/>
          <w:szCs w:val="30"/>
        </w:rPr>
      </w:pPr>
      <w:r>
        <w:rPr>
          <w:rFonts w:ascii="仿宋_GB2312" w:eastAsia="仿宋_GB2312" w:hAnsi="宋体" w:hint="eastAsia"/>
          <w:sz w:val="30"/>
          <w:szCs w:val="30"/>
        </w:rPr>
        <w:t>说明： 1.圆括号中的名称，是它前面的名称的同义词。</w:t>
      </w:r>
    </w:p>
    <w:p w14:paraId="37682CB4" w14:textId="77777777" w:rsidR="00991E60" w:rsidRDefault="00991E60" w:rsidP="009A7F3F">
      <w:pPr>
        <w:spacing w:line="480" w:lineRule="exact"/>
        <w:ind w:left="1650" w:hangingChars="550" w:hanging="1650"/>
        <w:rPr>
          <w:rFonts w:ascii="仿宋_GB2312" w:eastAsia="仿宋_GB2312" w:hAnsi="宋体"/>
          <w:sz w:val="30"/>
          <w:szCs w:val="30"/>
        </w:rPr>
      </w:pPr>
      <w:r>
        <w:rPr>
          <w:rFonts w:ascii="仿宋_GB2312" w:eastAsia="仿宋_GB2312" w:hAnsi="宋体" w:hint="eastAsia"/>
          <w:sz w:val="30"/>
          <w:szCs w:val="30"/>
        </w:rPr>
        <w:t xml:space="preserve">       </w:t>
      </w:r>
      <w:r w:rsidR="009A7F3F">
        <w:rPr>
          <w:rFonts w:ascii="仿宋_GB2312" w:eastAsia="仿宋_GB2312" w:hAnsi="宋体" w:hint="eastAsia"/>
          <w:sz w:val="30"/>
          <w:szCs w:val="30"/>
        </w:rPr>
        <w:t xml:space="preserve">2.无方括号的量的名称与单位名称均为全称。    </w:t>
      </w:r>
    </w:p>
    <w:p w14:paraId="3287B648" w14:textId="77777777" w:rsidR="009A7F3F" w:rsidRDefault="009A7F3F" w:rsidP="00991E60">
      <w:pPr>
        <w:spacing w:line="480" w:lineRule="exact"/>
        <w:ind w:leftChars="600" w:left="1260"/>
        <w:rPr>
          <w:rFonts w:ascii="仿宋_GB2312" w:eastAsia="仿宋_GB2312" w:hAnsi="宋体"/>
          <w:sz w:val="30"/>
          <w:szCs w:val="30"/>
        </w:rPr>
      </w:pPr>
      <w:r>
        <w:rPr>
          <w:rFonts w:ascii="仿宋_GB2312" w:eastAsia="仿宋_GB2312" w:hAnsi="宋体" w:hint="eastAsia"/>
          <w:sz w:val="30"/>
          <w:szCs w:val="30"/>
        </w:rPr>
        <w:t>方括号中的字，在不致引起混淆、误解的情况下，可以省去。去掉方括号中的字即为其名称的简称。</w:t>
      </w:r>
    </w:p>
    <w:p w14:paraId="1B68A72C"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根据一定的规则和习惯，由以上单位构成的组合单位，只要具</w:t>
      </w:r>
      <w:r>
        <w:rPr>
          <w:rFonts w:ascii="仿宋_GB2312" w:eastAsia="仿宋_GB2312" w:hAnsi="宋体" w:hint="eastAsia"/>
          <w:sz w:val="30"/>
          <w:szCs w:val="30"/>
        </w:rPr>
        <w:lastRenderedPageBreak/>
        <w:t>有物理意义，都是我国法定单位。例如：速度单位m/s。</w:t>
      </w:r>
    </w:p>
    <w:p w14:paraId="18E2139C"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由SI词头与以上单位构成的倍数单位，也是我国法定单位。例如：MJ/kg（兆焦每千克），g/mL（克每毫升）。</w:t>
      </w:r>
    </w:p>
    <w:p w14:paraId="34170C3B"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星期、月、和年（年的符号为a）这3个单位，在我国将与法定单位长期并用。</w:t>
      </w:r>
    </w:p>
    <w:p w14:paraId="733D14FD" w14:textId="77777777" w:rsidR="009A7F3F" w:rsidRDefault="009A7F3F" w:rsidP="009A7F3F">
      <w:pPr>
        <w:spacing w:line="480" w:lineRule="exact"/>
        <w:jc w:val="center"/>
        <w:rPr>
          <w:rFonts w:ascii="仿宋_GB2312" w:eastAsia="仿宋_GB2312" w:hAnsi="宋体"/>
          <w:sz w:val="30"/>
          <w:szCs w:val="30"/>
        </w:rPr>
      </w:pPr>
      <w:r>
        <w:rPr>
          <w:rFonts w:ascii="仿宋_GB2312" w:eastAsia="仿宋_GB2312" w:hAnsi="宋体" w:hint="eastAsia"/>
          <w:sz w:val="30"/>
          <w:szCs w:val="30"/>
        </w:rPr>
        <w:t>常见废弃单位及换算系数</w:t>
      </w:r>
    </w:p>
    <w:tbl>
      <w:tblPr>
        <w:tblW w:w="6480" w:type="dxa"/>
        <w:jc w:val="center"/>
        <w:tblLook w:val="0000" w:firstRow="0" w:lastRow="0" w:firstColumn="0" w:lastColumn="0" w:noHBand="0" w:noVBand="0"/>
      </w:tblPr>
      <w:tblGrid>
        <w:gridCol w:w="2140"/>
        <w:gridCol w:w="2140"/>
        <w:gridCol w:w="2200"/>
      </w:tblGrid>
      <w:tr w:rsidR="009A7F3F" w:rsidRPr="003374FA" w14:paraId="3A405FBF" w14:textId="77777777" w:rsidTr="00A026FA">
        <w:trPr>
          <w:trHeight w:val="285"/>
          <w:jc w:val="center"/>
        </w:trPr>
        <w:tc>
          <w:tcPr>
            <w:tcW w:w="2140" w:type="dxa"/>
            <w:tcBorders>
              <w:top w:val="single" w:sz="4" w:space="0" w:color="auto"/>
              <w:left w:val="nil"/>
              <w:bottom w:val="single" w:sz="4" w:space="0" w:color="auto"/>
              <w:right w:val="nil"/>
            </w:tcBorders>
            <w:noWrap/>
            <w:vAlign w:val="center"/>
          </w:tcPr>
          <w:p w14:paraId="095B1AC9" w14:textId="77777777"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单位名称</w:t>
            </w:r>
          </w:p>
        </w:tc>
        <w:tc>
          <w:tcPr>
            <w:tcW w:w="2140" w:type="dxa"/>
            <w:tcBorders>
              <w:top w:val="single" w:sz="4" w:space="0" w:color="auto"/>
              <w:left w:val="nil"/>
              <w:bottom w:val="single" w:sz="4" w:space="0" w:color="auto"/>
              <w:right w:val="nil"/>
            </w:tcBorders>
            <w:noWrap/>
            <w:vAlign w:val="center"/>
          </w:tcPr>
          <w:p w14:paraId="071F41A7" w14:textId="77777777"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符号</w:t>
            </w:r>
          </w:p>
        </w:tc>
        <w:tc>
          <w:tcPr>
            <w:tcW w:w="2200" w:type="dxa"/>
            <w:tcBorders>
              <w:top w:val="single" w:sz="4" w:space="0" w:color="auto"/>
              <w:left w:val="nil"/>
              <w:bottom w:val="single" w:sz="4" w:space="0" w:color="auto"/>
              <w:right w:val="nil"/>
            </w:tcBorders>
            <w:noWrap/>
            <w:vAlign w:val="center"/>
          </w:tcPr>
          <w:p w14:paraId="552652B9" w14:textId="77777777"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换算系数</w:t>
            </w:r>
          </w:p>
        </w:tc>
      </w:tr>
      <w:tr w:rsidR="009A7F3F" w:rsidRPr="003374FA" w14:paraId="4A6E62C7" w14:textId="77777777" w:rsidTr="00A026FA">
        <w:trPr>
          <w:trHeight w:val="285"/>
          <w:jc w:val="center"/>
        </w:trPr>
        <w:tc>
          <w:tcPr>
            <w:tcW w:w="2140" w:type="dxa"/>
            <w:tcBorders>
              <w:top w:val="nil"/>
              <w:left w:val="nil"/>
              <w:bottom w:val="nil"/>
              <w:right w:val="nil"/>
            </w:tcBorders>
            <w:noWrap/>
            <w:vAlign w:val="center"/>
          </w:tcPr>
          <w:p w14:paraId="52A5E260" w14:textId="77777777"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毫米汞拄</w:t>
            </w:r>
          </w:p>
        </w:tc>
        <w:tc>
          <w:tcPr>
            <w:tcW w:w="2140" w:type="dxa"/>
            <w:tcBorders>
              <w:top w:val="nil"/>
              <w:left w:val="nil"/>
              <w:bottom w:val="nil"/>
              <w:right w:val="nil"/>
            </w:tcBorders>
            <w:noWrap/>
            <w:vAlign w:val="center"/>
          </w:tcPr>
          <w:p w14:paraId="40EA5B5C" w14:textId="77777777"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mmHg</w:t>
            </w:r>
          </w:p>
        </w:tc>
        <w:tc>
          <w:tcPr>
            <w:tcW w:w="2200" w:type="dxa"/>
            <w:tcBorders>
              <w:top w:val="nil"/>
              <w:left w:val="nil"/>
              <w:bottom w:val="nil"/>
              <w:right w:val="nil"/>
            </w:tcBorders>
            <w:noWrap/>
            <w:vAlign w:val="center"/>
          </w:tcPr>
          <w:p w14:paraId="79BFB422" w14:textId="77777777"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1 mmHg=133.32 Pa</w:t>
            </w:r>
          </w:p>
        </w:tc>
      </w:tr>
      <w:tr w:rsidR="009A7F3F" w:rsidRPr="003374FA" w14:paraId="1C9009E6" w14:textId="77777777" w:rsidTr="00A026FA">
        <w:trPr>
          <w:trHeight w:val="285"/>
          <w:jc w:val="center"/>
        </w:trPr>
        <w:tc>
          <w:tcPr>
            <w:tcW w:w="2140" w:type="dxa"/>
            <w:tcBorders>
              <w:top w:val="nil"/>
              <w:left w:val="nil"/>
              <w:bottom w:val="nil"/>
              <w:right w:val="nil"/>
            </w:tcBorders>
            <w:noWrap/>
            <w:vAlign w:val="center"/>
          </w:tcPr>
          <w:p w14:paraId="07D051D3" w14:textId="77777777"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卡</w:t>
            </w:r>
          </w:p>
        </w:tc>
        <w:tc>
          <w:tcPr>
            <w:tcW w:w="2140" w:type="dxa"/>
            <w:tcBorders>
              <w:top w:val="nil"/>
              <w:left w:val="nil"/>
              <w:bottom w:val="nil"/>
              <w:right w:val="nil"/>
            </w:tcBorders>
            <w:noWrap/>
            <w:vAlign w:val="center"/>
          </w:tcPr>
          <w:p w14:paraId="5DDFC3D9" w14:textId="77777777"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cal</w:t>
            </w:r>
          </w:p>
        </w:tc>
        <w:tc>
          <w:tcPr>
            <w:tcW w:w="2200" w:type="dxa"/>
            <w:tcBorders>
              <w:top w:val="nil"/>
              <w:left w:val="nil"/>
              <w:bottom w:val="nil"/>
              <w:right w:val="nil"/>
            </w:tcBorders>
            <w:noWrap/>
            <w:vAlign w:val="center"/>
          </w:tcPr>
          <w:p w14:paraId="6C693E83" w14:textId="77777777"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1 cal=4.186 8J</w:t>
            </w:r>
          </w:p>
        </w:tc>
      </w:tr>
      <w:tr w:rsidR="009A7F3F" w:rsidRPr="003374FA" w14:paraId="0437CC47" w14:textId="77777777" w:rsidTr="00A026FA">
        <w:trPr>
          <w:trHeight w:val="285"/>
          <w:jc w:val="center"/>
        </w:trPr>
        <w:tc>
          <w:tcPr>
            <w:tcW w:w="2140" w:type="dxa"/>
            <w:tcBorders>
              <w:top w:val="nil"/>
              <w:left w:val="nil"/>
              <w:bottom w:val="nil"/>
              <w:right w:val="nil"/>
            </w:tcBorders>
            <w:noWrap/>
            <w:vAlign w:val="center"/>
          </w:tcPr>
          <w:p w14:paraId="5CD87C04" w14:textId="77777777"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大卡</w:t>
            </w:r>
          </w:p>
        </w:tc>
        <w:tc>
          <w:tcPr>
            <w:tcW w:w="2140" w:type="dxa"/>
            <w:tcBorders>
              <w:top w:val="nil"/>
              <w:left w:val="nil"/>
              <w:bottom w:val="nil"/>
              <w:right w:val="nil"/>
            </w:tcBorders>
            <w:noWrap/>
            <w:vAlign w:val="center"/>
          </w:tcPr>
          <w:p w14:paraId="781A9FE2" w14:textId="77777777"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kcal</w:t>
            </w:r>
          </w:p>
        </w:tc>
        <w:tc>
          <w:tcPr>
            <w:tcW w:w="2200" w:type="dxa"/>
            <w:tcBorders>
              <w:top w:val="nil"/>
              <w:left w:val="nil"/>
              <w:bottom w:val="nil"/>
              <w:right w:val="nil"/>
            </w:tcBorders>
            <w:noWrap/>
            <w:vAlign w:val="center"/>
          </w:tcPr>
          <w:p w14:paraId="307499AA" w14:textId="77777777"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1 kcal=4.186 8kJ</w:t>
            </w:r>
          </w:p>
        </w:tc>
      </w:tr>
      <w:tr w:rsidR="009A7F3F" w:rsidRPr="003374FA" w14:paraId="7EB3A0FF" w14:textId="77777777" w:rsidTr="00A026FA">
        <w:trPr>
          <w:trHeight w:val="285"/>
          <w:jc w:val="center"/>
        </w:trPr>
        <w:tc>
          <w:tcPr>
            <w:tcW w:w="2140" w:type="dxa"/>
            <w:tcBorders>
              <w:top w:val="nil"/>
              <w:left w:val="nil"/>
              <w:bottom w:val="nil"/>
              <w:right w:val="nil"/>
            </w:tcBorders>
            <w:noWrap/>
            <w:vAlign w:val="center"/>
          </w:tcPr>
          <w:p w14:paraId="6BA47823" w14:textId="77777777"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度</w:t>
            </w:r>
          </w:p>
        </w:tc>
        <w:tc>
          <w:tcPr>
            <w:tcW w:w="2140" w:type="dxa"/>
            <w:tcBorders>
              <w:top w:val="nil"/>
              <w:left w:val="nil"/>
              <w:bottom w:val="nil"/>
              <w:right w:val="nil"/>
            </w:tcBorders>
            <w:noWrap/>
            <w:vAlign w:val="center"/>
          </w:tcPr>
          <w:p w14:paraId="1FA1C756" w14:textId="77777777" w:rsidR="009A7F3F" w:rsidRPr="003374FA" w:rsidRDefault="009A7F3F" w:rsidP="00A026FA">
            <w:pPr>
              <w:widowControl/>
              <w:spacing w:line="480" w:lineRule="exact"/>
              <w:jc w:val="left"/>
              <w:rPr>
                <w:rFonts w:asciiTheme="majorEastAsia" w:eastAsiaTheme="majorEastAsia" w:hAnsiTheme="majorEastAsia"/>
                <w:szCs w:val="30"/>
              </w:rPr>
            </w:pPr>
          </w:p>
        </w:tc>
        <w:tc>
          <w:tcPr>
            <w:tcW w:w="2200" w:type="dxa"/>
            <w:tcBorders>
              <w:top w:val="nil"/>
              <w:left w:val="nil"/>
              <w:bottom w:val="nil"/>
              <w:right w:val="nil"/>
            </w:tcBorders>
            <w:noWrap/>
            <w:vAlign w:val="center"/>
          </w:tcPr>
          <w:p w14:paraId="1C68E205" w14:textId="77777777"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1 度＝1 kW</w:t>
            </w:r>
            <w:r w:rsidRPr="003374FA">
              <w:rPr>
                <w:rFonts w:asciiTheme="majorEastAsia" w:eastAsiaTheme="majorEastAsia" w:hAnsiTheme="majorEastAsia"/>
                <w:szCs w:val="30"/>
              </w:rPr>
              <w:t>·</w:t>
            </w:r>
            <w:r w:rsidRPr="003374FA">
              <w:rPr>
                <w:rFonts w:asciiTheme="majorEastAsia" w:eastAsiaTheme="majorEastAsia" w:hAnsiTheme="majorEastAsia" w:hint="eastAsia"/>
                <w:szCs w:val="30"/>
              </w:rPr>
              <w:t>h</w:t>
            </w:r>
          </w:p>
        </w:tc>
      </w:tr>
      <w:tr w:rsidR="009A7F3F" w:rsidRPr="003374FA" w14:paraId="632781DD" w14:textId="77777777" w:rsidTr="00A026FA">
        <w:trPr>
          <w:trHeight w:val="285"/>
          <w:jc w:val="center"/>
        </w:trPr>
        <w:tc>
          <w:tcPr>
            <w:tcW w:w="2140" w:type="dxa"/>
            <w:tcBorders>
              <w:top w:val="nil"/>
              <w:left w:val="nil"/>
              <w:bottom w:val="single" w:sz="4" w:space="0" w:color="auto"/>
              <w:right w:val="nil"/>
            </w:tcBorders>
            <w:noWrap/>
            <w:vAlign w:val="center"/>
          </w:tcPr>
          <w:p w14:paraId="4C3445E8" w14:textId="77777777"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亩</w:t>
            </w:r>
          </w:p>
        </w:tc>
        <w:tc>
          <w:tcPr>
            <w:tcW w:w="2140" w:type="dxa"/>
            <w:tcBorders>
              <w:top w:val="nil"/>
              <w:left w:val="nil"/>
              <w:bottom w:val="single" w:sz="4" w:space="0" w:color="auto"/>
              <w:right w:val="nil"/>
            </w:tcBorders>
            <w:noWrap/>
            <w:vAlign w:val="center"/>
          </w:tcPr>
          <w:p w14:paraId="0C6AA515" w14:textId="77777777" w:rsidR="009A7F3F" w:rsidRPr="003374FA" w:rsidRDefault="009A7F3F" w:rsidP="00A026FA">
            <w:pPr>
              <w:widowControl/>
              <w:spacing w:line="480" w:lineRule="exact"/>
              <w:jc w:val="left"/>
              <w:rPr>
                <w:rFonts w:asciiTheme="majorEastAsia" w:eastAsiaTheme="majorEastAsia" w:hAnsiTheme="majorEastAsia"/>
                <w:szCs w:val="30"/>
              </w:rPr>
            </w:pPr>
          </w:p>
        </w:tc>
        <w:tc>
          <w:tcPr>
            <w:tcW w:w="2200" w:type="dxa"/>
            <w:tcBorders>
              <w:top w:val="nil"/>
              <w:left w:val="nil"/>
              <w:bottom w:val="single" w:sz="4" w:space="0" w:color="auto"/>
              <w:right w:val="nil"/>
            </w:tcBorders>
            <w:noWrap/>
            <w:vAlign w:val="center"/>
          </w:tcPr>
          <w:p w14:paraId="724BDB43" w14:textId="77777777"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1 亩＝0.067 hm2</w:t>
            </w:r>
          </w:p>
        </w:tc>
      </w:tr>
    </w:tbl>
    <w:p w14:paraId="7DADE41B" w14:textId="77777777"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5  数字用法</w:t>
      </w:r>
    </w:p>
    <w:p w14:paraId="1314E46F"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1)凡是可以使用阿拉伯数字且很得体的地方，均应使用阿拉伯数字。</w:t>
      </w:r>
    </w:p>
    <w:p w14:paraId="238C3D49"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2)日期和时刻的表示。</w:t>
      </w:r>
    </w:p>
    <w:p w14:paraId="5617CD85"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a.公历世纪、年代、年、月、日和时刻用阿拉伯数字。年份不能简写，如2006年不能写成06年。</w:t>
      </w:r>
    </w:p>
    <w:p w14:paraId="6A344367"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b.日期可采用全数字式表示法，如</w:t>
      </w:r>
      <w:smartTag w:uri="urn:schemas-microsoft-com:office:smarttags" w:element="chsdate">
        <w:smartTagPr>
          <w:attr w:name="IsROCDate" w:val="False"/>
          <w:attr w:name="IsLunarDate" w:val="False"/>
          <w:attr w:name="Day" w:val="30"/>
          <w:attr w:name="Month" w:val="5"/>
          <w:attr w:name="Year" w:val="2006"/>
        </w:smartTagPr>
        <w:r>
          <w:rPr>
            <w:rFonts w:ascii="仿宋_GB2312" w:eastAsia="仿宋_GB2312" w:hAnsi="宋体" w:hint="eastAsia"/>
            <w:sz w:val="30"/>
            <w:szCs w:val="30"/>
          </w:rPr>
          <w:t>2006年5月30日</w:t>
        </w:r>
      </w:smartTag>
      <w:r>
        <w:rPr>
          <w:rFonts w:ascii="仿宋_GB2312" w:eastAsia="仿宋_GB2312" w:hAnsi="宋体" w:hint="eastAsia"/>
          <w:sz w:val="30"/>
          <w:szCs w:val="30"/>
        </w:rPr>
        <w:t>可表示成</w:t>
      </w:r>
      <w:smartTag w:uri="urn:schemas-microsoft-com:office:smarttags" w:element="chsdate">
        <w:smartTagPr>
          <w:attr w:name="IsROCDate" w:val="False"/>
          <w:attr w:name="IsLunarDate" w:val="False"/>
          <w:attr w:name="Day" w:val="30"/>
          <w:attr w:name="Month" w:val="5"/>
          <w:attr w:name="Year" w:val="2006"/>
        </w:smartTagPr>
        <w:r>
          <w:rPr>
            <w:rFonts w:ascii="仿宋_GB2312" w:eastAsia="仿宋_GB2312" w:hAnsi="宋体" w:hint="eastAsia"/>
            <w:sz w:val="30"/>
            <w:szCs w:val="30"/>
          </w:rPr>
          <w:t>2006-05-30</w:t>
        </w:r>
      </w:smartTag>
      <w:r>
        <w:rPr>
          <w:rFonts w:ascii="仿宋_GB2312" w:eastAsia="仿宋_GB2312" w:hAnsi="宋体" w:hint="eastAsia"/>
          <w:sz w:val="30"/>
          <w:szCs w:val="30"/>
        </w:rPr>
        <w:t>或20060530</w:t>
      </w:r>
    </w:p>
    <w:p w14:paraId="720AA952"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c.时刻的表示采用GB/T 7408－94的规定写法，如：“18时6分25秒”可写成18:06:25。要注意区分时间计量和时刻表示，不能把18时6分25秒写成“18h 6min 25s”；反之也不应该用表示时刻的符号来表示时间计量，如不能把所用时间2时15分6秒写成“02:15:</w:t>
      </w:r>
      <w:smartTag w:uri="urn:schemas-microsoft-com:office:smarttags" w:element="chmetcnv">
        <w:smartTagPr>
          <w:attr w:name="TCSC" w:val="0"/>
          <w:attr w:name="NumberType" w:val="1"/>
          <w:attr w:name="Negative" w:val="False"/>
          <w:attr w:name="HasSpace" w:val="False"/>
          <w:attr w:name="SourceValue" w:val="6"/>
          <w:attr w:name="UnitName" w:val="”"/>
        </w:smartTagPr>
        <w:r>
          <w:rPr>
            <w:rFonts w:ascii="仿宋_GB2312" w:eastAsia="仿宋_GB2312" w:hAnsi="宋体" w:hint="eastAsia"/>
            <w:sz w:val="30"/>
            <w:szCs w:val="30"/>
          </w:rPr>
          <w:t>06”</w:t>
        </w:r>
      </w:smartTag>
      <w:r>
        <w:rPr>
          <w:rFonts w:ascii="仿宋_GB2312" w:eastAsia="仿宋_GB2312" w:hAnsi="宋体" w:hint="eastAsia"/>
          <w:sz w:val="30"/>
          <w:szCs w:val="30"/>
        </w:rPr>
        <w:t>。</w:t>
      </w:r>
    </w:p>
    <w:p w14:paraId="1E0EA601"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3)阿拉伯数字的使用规则。</w:t>
      </w:r>
    </w:p>
    <w:p w14:paraId="3303278A"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a.计量和计数单位前的数字应采用阿拉伯数字。</w:t>
      </w:r>
    </w:p>
    <w:p w14:paraId="1B10B54C"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b.多位的阿拉伯数字不能拆开转行。</w:t>
      </w:r>
    </w:p>
    <w:p w14:paraId="6B07E81E"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c.对于计量和计数数字，小数点前或后若超过4位数（含4位），</w:t>
      </w:r>
      <w:r>
        <w:rPr>
          <w:rFonts w:ascii="仿宋_GB2312" w:eastAsia="仿宋_GB2312" w:hAnsi="宋体" w:hint="eastAsia"/>
          <w:sz w:val="30"/>
          <w:szCs w:val="30"/>
        </w:rPr>
        <w:lastRenderedPageBreak/>
        <w:t>应从小数点起向左或向右每3位空出适当间隙，不用千分撇“，”。</w:t>
      </w:r>
    </w:p>
    <w:p w14:paraId="2960B9FD"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d.阿拉伯数字不能与除万、亿和SI词头中文名称以外的数词连用。如142 500可写成14.25 万，不能写成14万2千5百；5 000元不能写为5千元。</w:t>
      </w:r>
    </w:p>
    <w:p w14:paraId="7ECBF8BF"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e.无论在文字叙述还是图表中，纯小数小数点前用来定位的“</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_GB2312" w:eastAsia="仿宋_GB2312" w:hAnsi="宋体" w:hint="eastAsia"/>
            <w:sz w:val="30"/>
            <w:szCs w:val="30"/>
          </w:rPr>
          <w:t>0”</w:t>
        </w:r>
      </w:smartTag>
      <w:r>
        <w:rPr>
          <w:rFonts w:ascii="仿宋_GB2312" w:eastAsia="仿宋_GB2312" w:hAnsi="宋体" w:hint="eastAsia"/>
          <w:sz w:val="30"/>
          <w:szCs w:val="30"/>
        </w:rPr>
        <w:t>不能省略。例如“</w:t>
      </w:r>
      <w:smartTag w:uri="urn:schemas-microsoft-com:office:smarttags" w:element="chmetcnv">
        <w:smartTagPr>
          <w:attr w:name="TCSC" w:val="0"/>
          <w:attr w:name="NumberType" w:val="1"/>
          <w:attr w:name="Negative" w:val="False"/>
          <w:attr w:name="HasSpace" w:val="False"/>
          <w:attr w:name="SourceValue" w:val=".75"/>
          <w:attr w:name="UnitName" w:val="”"/>
        </w:smartTagPr>
        <w:r>
          <w:rPr>
            <w:rFonts w:ascii="仿宋_GB2312" w:eastAsia="仿宋_GB2312" w:hAnsi="宋体" w:hint="eastAsia"/>
            <w:sz w:val="30"/>
            <w:szCs w:val="30"/>
          </w:rPr>
          <w:t>0.75”</w:t>
        </w:r>
      </w:smartTag>
      <w:r>
        <w:rPr>
          <w:rFonts w:ascii="仿宋_GB2312" w:eastAsia="仿宋_GB2312" w:hAnsi="宋体" w:hint="eastAsia"/>
          <w:sz w:val="30"/>
          <w:szCs w:val="30"/>
        </w:rPr>
        <w:t>不能写作“</w:t>
      </w:r>
      <w:smartTag w:uri="urn:schemas-microsoft-com:office:smarttags" w:element="chmetcnv">
        <w:smartTagPr>
          <w:attr w:name="TCSC" w:val="0"/>
          <w:attr w:name="NumberType" w:val="1"/>
          <w:attr w:name="Negative" w:val="False"/>
          <w:attr w:name="HasSpace" w:val="False"/>
          <w:attr w:name="SourceValue" w:val=".75"/>
          <w:attr w:name="UnitName" w:val="”"/>
        </w:smartTagPr>
        <w:r>
          <w:rPr>
            <w:rFonts w:ascii="仿宋_GB2312" w:eastAsia="仿宋_GB2312" w:hAnsi="宋体" w:hint="eastAsia"/>
            <w:sz w:val="30"/>
            <w:szCs w:val="30"/>
          </w:rPr>
          <w:t>.75”</w:t>
        </w:r>
      </w:smartTag>
      <w:r>
        <w:rPr>
          <w:rFonts w:ascii="仿宋_GB2312" w:eastAsia="仿宋_GB2312" w:hAnsi="宋体" w:hint="eastAsia"/>
          <w:sz w:val="30"/>
          <w:szCs w:val="30"/>
        </w:rPr>
        <w:t>。</w:t>
      </w:r>
    </w:p>
    <w:p w14:paraId="7212AF6B"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f.“</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smartTag>
      <w:r>
        <w:rPr>
          <w:rFonts w:ascii="仿宋_GB2312" w:eastAsia="仿宋_GB2312" w:hAnsi="宋体" w:hint="eastAsia"/>
          <w:sz w:val="30"/>
          <w:szCs w:val="30"/>
        </w:rPr>
        <w:t>的使用。尽管许多人已经对个位数字采用了阿拉伯数字，但是他们对于计数单位前的“</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smartTag>
      <w:r>
        <w:rPr>
          <w:rFonts w:ascii="仿宋_GB2312" w:eastAsia="仿宋_GB2312" w:hAnsi="宋体" w:hint="eastAsia"/>
          <w:sz w:val="30"/>
          <w:szCs w:val="30"/>
        </w:rPr>
        <w:t>仍不愿意用，其主要障碍是对读音不习惯。其实，“</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smartTag>
      <w:r>
        <w:rPr>
          <w:rFonts w:ascii="仿宋_GB2312" w:eastAsia="仿宋_GB2312" w:hAnsi="宋体" w:hint="eastAsia"/>
          <w:sz w:val="30"/>
          <w:szCs w:val="30"/>
        </w:rPr>
        <w:t>本来就有“二”和“两”2个读音：当它处于计量单位前时，读二者均可，如“</w:t>
      </w:r>
      <w:smartTag w:uri="urn:schemas-microsoft-com:office:smarttags" w:element="chmetcnv">
        <w:smartTagPr>
          <w:attr w:name="TCSC" w:val="0"/>
          <w:attr w:name="NumberType" w:val="1"/>
          <w:attr w:name="Negative" w:val="False"/>
          <w:attr w:name="HasSpace" w:val="True"/>
          <w:attr w:name="SourceValue" w:val="2"/>
          <w:attr w:name="UnitName" w:val="m"/>
        </w:smartTagPr>
        <w:r>
          <w:rPr>
            <w:rFonts w:ascii="仿宋_GB2312" w:eastAsia="仿宋_GB2312" w:hAnsi="宋体" w:hint="eastAsia"/>
            <w:sz w:val="30"/>
            <w:szCs w:val="30"/>
          </w:rPr>
          <w:t>2 m</w:t>
        </w:r>
      </w:smartTag>
      <w:r>
        <w:rPr>
          <w:rFonts w:ascii="仿宋_GB2312" w:eastAsia="仿宋_GB2312" w:hAnsi="宋体" w:hint="eastAsia"/>
          <w:sz w:val="30"/>
          <w:szCs w:val="30"/>
        </w:rPr>
        <w:t>”读作“</w:t>
      </w:r>
      <w:smartTag w:uri="urn:schemas-microsoft-com:office:smarttags" w:element="chmetcnv">
        <w:smartTagPr>
          <w:attr w:name="TCSC" w:val="1"/>
          <w:attr w:name="NumberType" w:val="3"/>
          <w:attr w:name="Negative" w:val="False"/>
          <w:attr w:name="HasSpace" w:val="False"/>
          <w:attr w:name="SourceValue" w:val="2"/>
          <w:attr w:name="UnitName" w:val="米"/>
        </w:smartTagPr>
        <w:r>
          <w:rPr>
            <w:rFonts w:ascii="仿宋_GB2312" w:eastAsia="仿宋_GB2312" w:hAnsi="宋体" w:hint="eastAsia"/>
            <w:sz w:val="30"/>
            <w:szCs w:val="30"/>
          </w:rPr>
          <w:t>二米</w:t>
        </w:r>
      </w:smartTag>
      <w:r>
        <w:rPr>
          <w:rFonts w:ascii="仿宋_GB2312" w:eastAsia="仿宋_GB2312" w:hAnsi="宋体" w:hint="eastAsia"/>
          <w:sz w:val="30"/>
          <w:szCs w:val="30"/>
        </w:rPr>
        <w:t>”或“</w:t>
      </w:r>
      <w:smartTag w:uri="urn:schemas-microsoft-com:office:smarttags" w:element="chmetcnv">
        <w:smartTagPr>
          <w:attr w:name="TCSC" w:val="1"/>
          <w:attr w:name="NumberType" w:val="3"/>
          <w:attr w:name="Negative" w:val="False"/>
          <w:attr w:name="HasSpace" w:val="False"/>
          <w:attr w:name="SourceValue" w:val="2"/>
          <w:attr w:name="UnitName" w:val="米"/>
        </w:smartTagPr>
        <w:r>
          <w:rPr>
            <w:rFonts w:ascii="仿宋_GB2312" w:eastAsia="仿宋_GB2312" w:hAnsi="宋体" w:hint="eastAsia"/>
            <w:sz w:val="30"/>
            <w:szCs w:val="30"/>
          </w:rPr>
          <w:t>两米</w:t>
        </w:r>
      </w:smartTag>
      <w:r>
        <w:rPr>
          <w:rFonts w:ascii="仿宋_GB2312" w:eastAsia="仿宋_GB2312" w:hAnsi="宋体" w:hint="eastAsia"/>
          <w:sz w:val="30"/>
          <w:szCs w:val="30"/>
        </w:rPr>
        <w:t>”；当它处于计数单位前时可读作“两”，如“2支”读作“两支”。</w:t>
      </w:r>
    </w:p>
    <w:p w14:paraId="51E09BC6"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g.“</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的使用。对于“一”，一般地说是可以用阿拉伯数字“</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代替的，但对有些情形则不行，用了“</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会变得不得体。那么如何判别得体与否呢？这里介绍一条简明的规则：用“一”以外的数字代替“一”，如果合情合理，则可用“</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；如果不合情理，则必须用“一”。</w:t>
      </w:r>
    </w:p>
    <w:p w14:paraId="30C4D72B"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4）汉字数字的使用</w:t>
      </w:r>
    </w:p>
    <w:p w14:paraId="0A7F571A"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a.数字作为语素构成定型的词、词组、惯用语、缩略语等必须用汉字书写，如二倍体、一元二次方程、十二指肠、“九五”计划等。</w:t>
      </w:r>
    </w:p>
    <w:p w14:paraId="523D490D"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b.相邻2个数字并列连用表示概数必须用汉字，数字间不加顿号</w:t>
      </w:r>
      <w:r>
        <w:rPr>
          <w:rFonts w:ascii="仿宋_GB2312" w:eastAsia="仿宋_GB2312" w:hAnsi="宋体"/>
          <w:sz w:val="30"/>
          <w:szCs w:val="30"/>
        </w:rPr>
        <w:t>“</w:t>
      </w:r>
      <w:r>
        <w:rPr>
          <w:rFonts w:ascii="仿宋_GB2312" w:eastAsia="仿宋_GB2312" w:hAnsi="宋体" w:hint="eastAsia"/>
          <w:sz w:val="30"/>
          <w:szCs w:val="30"/>
        </w:rPr>
        <w:t>、</w:t>
      </w:r>
      <w:r>
        <w:rPr>
          <w:rFonts w:ascii="仿宋_GB2312" w:eastAsia="仿宋_GB2312" w:hAnsi="宋体"/>
          <w:sz w:val="30"/>
          <w:szCs w:val="30"/>
        </w:rPr>
        <w:t>”</w:t>
      </w:r>
      <w:r>
        <w:rPr>
          <w:rFonts w:ascii="仿宋_GB2312" w:eastAsia="仿宋_GB2312" w:hAnsi="宋体" w:hint="eastAsia"/>
          <w:sz w:val="30"/>
          <w:szCs w:val="30"/>
        </w:rPr>
        <w:t>。如七八公里、五十二三岁等。</w:t>
      </w:r>
    </w:p>
    <w:p w14:paraId="142851F0"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c.非公历的历史纪年和日期要用汉字数字，如清咸丰十年九月二十日（</w:t>
      </w:r>
      <w:smartTag w:uri="urn:schemas-microsoft-com:office:smarttags" w:element="chsdate">
        <w:smartTagPr>
          <w:attr w:name="IsROCDate" w:val="False"/>
          <w:attr w:name="IsLunarDate" w:val="False"/>
          <w:attr w:name="Day" w:val="2"/>
          <w:attr w:name="Month" w:val="11"/>
          <w:attr w:name="Year" w:val="1860"/>
        </w:smartTagPr>
        <w:r>
          <w:rPr>
            <w:rFonts w:ascii="仿宋_GB2312" w:eastAsia="仿宋_GB2312" w:hAnsi="宋体" w:hint="eastAsia"/>
            <w:sz w:val="30"/>
            <w:szCs w:val="30"/>
          </w:rPr>
          <w:t>1860年11月2日</w:t>
        </w:r>
      </w:smartTag>
      <w:r>
        <w:rPr>
          <w:rFonts w:ascii="仿宋_GB2312" w:eastAsia="仿宋_GB2312" w:hAnsi="宋体" w:hint="eastAsia"/>
          <w:sz w:val="30"/>
          <w:szCs w:val="30"/>
        </w:rPr>
        <w:t>）、日本庆应三年（1867年）。八月十五中秋节等。</w:t>
      </w:r>
    </w:p>
    <w:p w14:paraId="69DC3256"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d.带有“几”字的数字表示的概数。如：十几，几百，三千几百万，几十万分之一等。</w:t>
      </w:r>
    </w:p>
    <w:p w14:paraId="3F83F864"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其他使用汉字的场合</w:t>
      </w:r>
    </w:p>
    <w:p w14:paraId="44DCE46D"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e.星期几一律用汉字。</w:t>
      </w:r>
    </w:p>
    <w:p w14:paraId="69340A1A"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f.并列的几个阿拉伯数字与其复指数相连时，复指数要用汉字。</w:t>
      </w:r>
      <w:r>
        <w:rPr>
          <w:rFonts w:ascii="仿宋_GB2312" w:eastAsia="仿宋_GB2312" w:hAnsi="宋体" w:hint="eastAsia"/>
          <w:sz w:val="30"/>
          <w:szCs w:val="30"/>
        </w:rPr>
        <w:lastRenderedPageBreak/>
        <w:t>如：</w:t>
      </w:r>
      <w:r>
        <w:rPr>
          <w:rFonts w:ascii="仿宋_GB2312" w:eastAsia="仿宋_GB2312" w:hAnsi="宋体"/>
          <w:sz w:val="30"/>
          <w:szCs w:val="30"/>
        </w:rPr>
        <w:t>“</w:t>
      </w:r>
      <w:r>
        <w:rPr>
          <w:rFonts w:ascii="仿宋_GB2312" w:eastAsia="仿宋_GB2312" w:hAnsi="宋体" w:hint="eastAsia"/>
          <w:sz w:val="30"/>
          <w:szCs w:val="30"/>
        </w:rPr>
        <w:t>1，2，3三个数</w:t>
      </w:r>
      <w:r>
        <w:rPr>
          <w:rFonts w:ascii="仿宋_GB2312" w:eastAsia="仿宋_GB2312" w:hAnsi="宋体"/>
          <w:sz w:val="30"/>
          <w:szCs w:val="30"/>
        </w:rPr>
        <w:t>”</w:t>
      </w:r>
      <w:r>
        <w:rPr>
          <w:rFonts w:ascii="仿宋_GB2312" w:eastAsia="仿宋_GB2312" w:hAnsi="宋体" w:hint="eastAsia"/>
          <w:sz w:val="30"/>
          <w:szCs w:val="30"/>
        </w:rPr>
        <w:t>。</w:t>
      </w:r>
    </w:p>
    <w:p w14:paraId="0C7485DA"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g.形容词前面的数字用汉字。如：三大生猪主产区。</w:t>
      </w:r>
    </w:p>
    <w:p w14:paraId="6D3FC014"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5)数值范围和公差等的表示</w:t>
      </w:r>
    </w:p>
    <w:p w14:paraId="41B8AED6"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数值范围的表示</w:t>
      </w:r>
    </w:p>
    <w:p w14:paraId="65180D0D"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a.数值范围：五至十可写为 5～10。</w:t>
      </w:r>
    </w:p>
    <w:p w14:paraId="66B9863C"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b.具有相同幂次的数值范围：3</w:t>
      </w:r>
      <w:r>
        <w:rPr>
          <w:rFonts w:ascii="仿宋_GB2312" w:eastAsia="仿宋_GB2312" w:hAnsi="宋体"/>
          <w:sz w:val="30"/>
          <w:szCs w:val="30"/>
        </w:rPr>
        <w:t>×</w:t>
      </w:r>
      <w:r>
        <w:rPr>
          <w:rFonts w:ascii="仿宋_GB2312" w:eastAsia="仿宋_GB2312" w:hAnsi="宋体" w:hint="eastAsia"/>
          <w:sz w:val="30"/>
          <w:szCs w:val="30"/>
        </w:rPr>
        <w:t>103～6</w:t>
      </w:r>
      <w:r>
        <w:rPr>
          <w:rFonts w:ascii="仿宋_GB2312" w:eastAsia="仿宋_GB2312" w:hAnsi="宋体"/>
          <w:sz w:val="30"/>
          <w:szCs w:val="30"/>
        </w:rPr>
        <w:t>×</w:t>
      </w:r>
      <w:r>
        <w:rPr>
          <w:rFonts w:ascii="仿宋_GB2312" w:eastAsia="仿宋_GB2312" w:hAnsi="宋体" w:hint="eastAsia"/>
          <w:sz w:val="30"/>
          <w:szCs w:val="30"/>
        </w:rPr>
        <w:t>103不得写作3～6×103。</w:t>
      </w:r>
    </w:p>
    <w:p w14:paraId="765F95D1"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c.百分数范围：20％～30％不能写成20～30％。</w:t>
      </w:r>
    </w:p>
    <w:p w14:paraId="4C0373F4"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d.用万或亿表示的数值范围：2万～5万不应该写作2～5万。</w:t>
      </w:r>
    </w:p>
    <w:p w14:paraId="3B842963"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e.具有相同单位的量值范围：1.5～3.6 mA不必写成1.5 mA～3.6 mA。</w:t>
      </w:r>
    </w:p>
    <w:p w14:paraId="58349B52"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公差的表示</w:t>
      </w:r>
    </w:p>
    <w:p w14:paraId="75378941"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f.偏差范围：（25</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sz w:val="30"/>
          <w:szCs w:val="30"/>
        </w:rPr>
        <w:t>℃</w:t>
      </w:r>
      <w:r>
        <w:rPr>
          <w:rFonts w:ascii="仿宋_GB2312" w:eastAsia="仿宋_GB2312" w:hAnsi="宋体" w:hint="eastAsia"/>
          <w:sz w:val="30"/>
          <w:szCs w:val="30"/>
        </w:rPr>
        <w:tab/>
        <w:t>不写成25</w:t>
      </w:r>
      <w:r>
        <w:rPr>
          <w:rFonts w:ascii="仿宋_GB2312" w:eastAsia="仿宋_GB2312" w:hAnsi="宋体"/>
          <w:sz w:val="30"/>
          <w:szCs w:val="30"/>
        </w:rPr>
        <w:t>±</w:t>
      </w:r>
      <w:smartTag w:uri="urn:schemas-microsoft-com:office:smarttags" w:element="chmetcnv">
        <w:smartTagPr>
          <w:attr w:name="TCSC" w:val="0"/>
          <w:attr w:name="NumberType" w:val="1"/>
          <w:attr w:name="Negative" w:val="False"/>
          <w:attr w:name="HasSpace" w:val="True"/>
          <w:attr w:name="SourceValue" w:val="1"/>
          <w:attr w:name="UnitName" w:val="℃"/>
        </w:smartTagPr>
        <w:r>
          <w:rPr>
            <w:rFonts w:ascii="仿宋_GB2312" w:eastAsia="仿宋_GB2312" w:hAnsi="宋体" w:hint="eastAsia"/>
            <w:sz w:val="30"/>
            <w:szCs w:val="30"/>
          </w:rPr>
          <w:t xml:space="preserve">1 </w:t>
        </w:r>
        <w:r>
          <w:rPr>
            <w:rFonts w:ascii="仿宋_GB2312" w:eastAsia="仿宋_GB2312" w:hAnsi="宋体"/>
            <w:sz w:val="30"/>
            <w:szCs w:val="30"/>
          </w:rPr>
          <w:t>℃</w:t>
        </w:r>
      </w:smartTag>
      <w:r>
        <w:rPr>
          <w:rFonts w:ascii="仿宋_GB2312" w:eastAsia="仿宋_GB2312" w:hAnsi="宋体" w:hint="eastAsia"/>
          <w:sz w:val="30"/>
          <w:szCs w:val="30"/>
        </w:rPr>
        <w:t>；（85</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％不写成85</w:t>
      </w:r>
      <w:r>
        <w:rPr>
          <w:rFonts w:ascii="仿宋_GB2312" w:eastAsia="仿宋_GB2312" w:hAnsi="宋体"/>
          <w:sz w:val="30"/>
          <w:szCs w:val="30"/>
        </w:rPr>
        <w:t>±</w:t>
      </w:r>
      <w:r>
        <w:rPr>
          <w:rFonts w:ascii="仿宋_GB2312" w:eastAsia="仿宋_GB2312" w:hAnsi="宋体" w:hint="eastAsia"/>
          <w:sz w:val="30"/>
          <w:szCs w:val="30"/>
        </w:rPr>
        <w:t>1％。</w:t>
      </w:r>
    </w:p>
    <w:p w14:paraId="6E99751A"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6）附带尺寸单位的量值相乘写为：</w:t>
      </w:r>
      <w:smartTag w:uri="urn:schemas-microsoft-com:office:smarttags" w:element="chmetcnv">
        <w:smartTagPr>
          <w:attr w:name="TCSC" w:val="0"/>
          <w:attr w:name="NumberType" w:val="1"/>
          <w:attr w:name="Negative" w:val="False"/>
          <w:attr w:name="HasSpace" w:val="False"/>
          <w:attr w:name="SourceValue" w:val="50"/>
          <w:attr w:name="UnitName" w:val="cm"/>
        </w:smartTagPr>
        <w:r>
          <w:rPr>
            <w:rFonts w:ascii="仿宋_GB2312" w:eastAsia="仿宋_GB2312" w:hAnsi="宋体" w:hint="eastAsia"/>
            <w:sz w:val="30"/>
            <w:szCs w:val="30"/>
          </w:rPr>
          <w:t>50cm</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False"/>
          <w:attr w:name="SourceValue" w:val="80"/>
          <w:attr w:name="UnitName" w:val="cm"/>
        </w:smartTagPr>
        <w:r>
          <w:rPr>
            <w:rFonts w:ascii="仿宋_GB2312" w:eastAsia="仿宋_GB2312" w:hAnsi="宋体" w:hint="eastAsia"/>
            <w:sz w:val="30"/>
            <w:szCs w:val="30"/>
          </w:rPr>
          <w:t>80cm</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False"/>
          <w:attr w:name="SourceValue" w:val="90"/>
          <w:attr w:name="UnitName" w:val="cm"/>
        </w:smartTagPr>
        <w:r>
          <w:rPr>
            <w:rFonts w:ascii="仿宋_GB2312" w:eastAsia="仿宋_GB2312" w:hAnsi="宋体" w:hint="eastAsia"/>
            <w:sz w:val="30"/>
            <w:szCs w:val="30"/>
          </w:rPr>
          <w:t>90cm</w:t>
        </w:r>
      </w:smartTag>
      <w:r>
        <w:rPr>
          <w:rFonts w:ascii="仿宋_GB2312" w:eastAsia="仿宋_GB2312" w:hAnsi="宋体" w:hint="eastAsia"/>
          <w:sz w:val="30"/>
          <w:szCs w:val="30"/>
        </w:rPr>
        <w:t>，不能写成50×80×</w:t>
      </w:r>
      <w:smartTag w:uri="urn:schemas-microsoft-com:office:smarttags" w:element="chmetcnv">
        <w:smartTagPr>
          <w:attr w:name="TCSC" w:val="0"/>
          <w:attr w:name="NumberType" w:val="1"/>
          <w:attr w:name="Negative" w:val="False"/>
          <w:attr w:name="HasSpace" w:val="False"/>
          <w:attr w:name="SourceValue" w:val="90"/>
          <w:attr w:name="UnitName" w:val="cm"/>
        </w:smartTagPr>
        <w:r>
          <w:rPr>
            <w:rFonts w:ascii="仿宋_GB2312" w:eastAsia="仿宋_GB2312" w:hAnsi="宋体" w:hint="eastAsia"/>
            <w:sz w:val="30"/>
            <w:szCs w:val="30"/>
          </w:rPr>
          <w:t>90cm</w:t>
        </w:r>
      </w:smartTag>
      <w:r>
        <w:rPr>
          <w:rFonts w:ascii="仿宋_GB2312" w:eastAsia="仿宋_GB2312" w:hAnsi="宋体" w:hint="eastAsia"/>
          <w:sz w:val="30"/>
          <w:szCs w:val="30"/>
        </w:rPr>
        <w:t>或50×80×</w:t>
      </w:r>
      <w:smartTag w:uri="urn:schemas-microsoft-com:office:smarttags" w:element="chmetcnv">
        <w:smartTagPr>
          <w:attr w:name="TCSC" w:val="0"/>
          <w:attr w:name="NumberType" w:val="1"/>
          <w:attr w:name="Negative" w:val="False"/>
          <w:attr w:name="HasSpace" w:val="False"/>
          <w:attr w:name="SourceValue" w:val="90"/>
          <w:attr w:name="UnitName" w:val="cm"/>
        </w:smartTagPr>
        <w:r>
          <w:rPr>
            <w:rFonts w:ascii="仿宋_GB2312" w:eastAsia="仿宋_GB2312" w:hAnsi="宋体" w:hint="eastAsia"/>
            <w:sz w:val="30"/>
            <w:szCs w:val="30"/>
          </w:rPr>
          <w:t>90cm</w:t>
        </w:r>
      </w:smartTag>
      <w:r>
        <w:rPr>
          <w:rFonts w:ascii="仿宋_GB2312" w:eastAsia="仿宋_GB2312" w:hAnsi="宋体" w:hint="eastAsia"/>
          <w:sz w:val="30"/>
          <w:szCs w:val="30"/>
        </w:rPr>
        <w:t>3。</w:t>
      </w:r>
    </w:p>
    <w:p w14:paraId="102E5544" w14:textId="77777777" w:rsidR="009A7F3F" w:rsidRDefault="009A7F3F" w:rsidP="009A7F3F">
      <w:pPr>
        <w:spacing w:line="480" w:lineRule="exact"/>
        <w:ind w:firstLineChars="200" w:firstLine="600"/>
        <w:jc w:val="center"/>
        <w:rPr>
          <w:rFonts w:ascii="仿宋_GB2312" w:eastAsia="仿宋_GB2312" w:hAnsi="宋体"/>
          <w:sz w:val="30"/>
          <w:szCs w:val="30"/>
        </w:rPr>
      </w:pPr>
      <w:r>
        <w:rPr>
          <w:rFonts w:ascii="仿宋_GB2312" w:eastAsia="仿宋_GB2312" w:hAnsi="宋体" w:hint="eastAsia"/>
          <w:sz w:val="30"/>
          <w:szCs w:val="30"/>
        </w:rPr>
        <w:t>常见错误</w:t>
      </w:r>
    </w:p>
    <w:tbl>
      <w:tblPr>
        <w:tblW w:w="0" w:type="auto"/>
        <w:jc w:val="center"/>
        <w:tblBorders>
          <w:top w:val="single" w:sz="4" w:space="0" w:color="auto"/>
          <w:bottom w:val="single" w:sz="4" w:space="0" w:color="auto"/>
        </w:tblBorders>
        <w:tblLook w:val="01E0" w:firstRow="1" w:lastRow="1" w:firstColumn="1" w:lastColumn="1" w:noHBand="0" w:noVBand="0"/>
      </w:tblPr>
      <w:tblGrid>
        <w:gridCol w:w="2836"/>
        <w:gridCol w:w="2837"/>
        <w:gridCol w:w="2837"/>
      </w:tblGrid>
      <w:tr w:rsidR="009A7F3F" w:rsidRPr="00DA4E40" w14:paraId="3ACC08D1" w14:textId="77777777" w:rsidTr="00C65E2D">
        <w:trPr>
          <w:trHeight w:val="207"/>
          <w:jc w:val="center"/>
        </w:trPr>
        <w:tc>
          <w:tcPr>
            <w:tcW w:w="2836" w:type="dxa"/>
            <w:tcBorders>
              <w:top w:val="single" w:sz="4" w:space="0" w:color="auto"/>
              <w:bottom w:val="single" w:sz="4" w:space="0" w:color="auto"/>
            </w:tcBorders>
          </w:tcPr>
          <w:p w14:paraId="5C89DE0E"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错误</w:t>
            </w:r>
          </w:p>
        </w:tc>
        <w:tc>
          <w:tcPr>
            <w:tcW w:w="2837" w:type="dxa"/>
            <w:tcBorders>
              <w:top w:val="single" w:sz="4" w:space="0" w:color="auto"/>
              <w:bottom w:val="single" w:sz="4" w:space="0" w:color="auto"/>
            </w:tcBorders>
          </w:tcPr>
          <w:p w14:paraId="30189C73"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正确</w:t>
            </w:r>
          </w:p>
        </w:tc>
        <w:tc>
          <w:tcPr>
            <w:tcW w:w="2837" w:type="dxa"/>
            <w:tcBorders>
              <w:top w:val="single" w:sz="4" w:space="0" w:color="auto"/>
              <w:bottom w:val="single" w:sz="4" w:space="0" w:color="auto"/>
            </w:tcBorders>
          </w:tcPr>
          <w:p w14:paraId="3B36A7B1"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备注</w:t>
            </w:r>
          </w:p>
        </w:tc>
      </w:tr>
      <w:tr w:rsidR="009A7F3F" w:rsidRPr="00DA4E40" w14:paraId="426ACEA6" w14:textId="77777777" w:rsidTr="00C65E2D">
        <w:trPr>
          <w:trHeight w:val="87"/>
          <w:jc w:val="center"/>
        </w:trPr>
        <w:tc>
          <w:tcPr>
            <w:tcW w:w="2836" w:type="dxa"/>
            <w:tcBorders>
              <w:top w:val="single" w:sz="4" w:space="0" w:color="auto"/>
            </w:tcBorders>
          </w:tcPr>
          <w:p w14:paraId="407B19C2" w14:textId="77777777" w:rsidR="009A7F3F" w:rsidRPr="00DA4E40" w:rsidRDefault="009A7F3F" w:rsidP="00A026FA">
            <w:pPr>
              <w:spacing w:line="480" w:lineRule="exact"/>
              <w:rPr>
                <w:rFonts w:asciiTheme="minorEastAsia" w:hAnsiTheme="minorEastAsia"/>
                <w:szCs w:val="21"/>
              </w:rPr>
            </w:pPr>
            <w:smartTag w:uri="urn:schemas-microsoft-com:office:smarttags" w:element="chmetcnv">
              <w:smartTagPr>
                <w:attr w:name="TCSC" w:val="0"/>
                <w:attr w:name="NumberType" w:val="1"/>
                <w:attr w:name="Negative" w:val="False"/>
                <w:attr w:name="HasSpace" w:val="False"/>
                <w:attr w:name="SourceValue" w:val="30000"/>
                <w:attr w:name="UnitName" w:val="m2"/>
              </w:smartTagPr>
              <w:r w:rsidRPr="00DA4E40">
                <w:rPr>
                  <w:rFonts w:asciiTheme="minorEastAsia" w:hAnsiTheme="minorEastAsia" w:hint="eastAsia"/>
                  <w:szCs w:val="21"/>
                </w:rPr>
                <w:t>30000m2</w:t>
              </w:r>
            </w:smartTag>
          </w:p>
        </w:tc>
        <w:tc>
          <w:tcPr>
            <w:tcW w:w="2837" w:type="dxa"/>
            <w:tcBorders>
              <w:top w:val="single" w:sz="4" w:space="0" w:color="auto"/>
            </w:tcBorders>
          </w:tcPr>
          <w:p w14:paraId="4D980D87" w14:textId="77777777" w:rsidR="009A7F3F" w:rsidRPr="00DA4E40" w:rsidRDefault="009A7F3F" w:rsidP="00A026FA">
            <w:pPr>
              <w:spacing w:line="480" w:lineRule="exact"/>
              <w:rPr>
                <w:rFonts w:asciiTheme="minorEastAsia" w:hAnsiTheme="minorEastAsia"/>
                <w:szCs w:val="21"/>
              </w:rPr>
            </w:pPr>
            <w:smartTag w:uri="urn:schemas-microsoft-com:office:smarttags" w:element="chmetcnv">
              <w:smartTagPr>
                <w:attr w:name="TCSC" w:val="1"/>
                <w:attr w:name="NumberType" w:val="1"/>
                <w:attr w:name="Negative" w:val="False"/>
                <w:attr w:name="HasSpace" w:val="False"/>
                <w:attr w:name="SourceValue" w:val="30000"/>
                <w:attr w:name="UnitName" w:val="m2"/>
              </w:smartTagPr>
              <w:r w:rsidRPr="00DA4E40">
                <w:rPr>
                  <w:rFonts w:asciiTheme="minorEastAsia" w:hAnsiTheme="minorEastAsia" w:hint="eastAsia"/>
                  <w:szCs w:val="21"/>
                </w:rPr>
                <w:t>3 万m</w:t>
              </w:r>
            </w:smartTag>
            <w:r w:rsidRPr="00DA4E40">
              <w:rPr>
                <w:rFonts w:asciiTheme="minorEastAsia" w:hAnsiTheme="minorEastAsia" w:hint="eastAsia"/>
                <w:szCs w:val="21"/>
              </w:rPr>
              <w:t>2</w:t>
            </w:r>
          </w:p>
        </w:tc>
        <w:tc>
          <w:tcPr>
            <w:tcW w:w="2837" w:type="dxa"/>
            <w:tcBorders>
              <w:top w:val="single" w:sz="4" w:space="0" w:color="auto"/>
            </w:tcBorders>
          </w:tcPr>
          <w:p w14:paraId="5D4BDD04" w14:textId="77777777" w:rsidR="009A7F3F" w:rsidRPr="00DA4E40" w:rsidRDefault="009A7F3F" w:rsidP="00A026FA">
            <w:pPr>
              <w:spacing w:line="480" w:lineRule="exact"/>
              <w:rPr>
                <w:rFonts w:asciiTheme="minorEastAsia" w:hAnsiTheme="minorEastAsia"/>
                <w:szCs w:val="21"/>
              </w:rPr>
            </w:pPr>
          </w:p>
        </w:tc>
      </w:tr>
      <w:tr w:rsidR="009A7F3F" w:rsidRPr="00DA4E40" w14:paraId="5A085255" w14:textId="77777777" w:rsidTr="00C65E2D">
        <w:trPr>
          <w:trHeight w:val="87"/>
          <w:jc w:val="center"/>
        </w:trPr>
        <w:tc>
          <w:tcPr>
            <w:tcW w:w="2836" w:type="dxa"/>
          </w:tcPr>
          <w:p w14:paraId="16869B3C"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15秒</w:t>
            </w:r>
          </w:p>
        </w:tc>
        <w:tc>
          <w:tcPr>
            <w:tcW w:w="2837" w:type="dxa"/>
          </w:tcPr>
          <w:p w14:paraId="44FE19F9"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15 s</w:t>
            </w:r>
          </w:p>
        </w:tc>
        <w:tc>
          <w:tcPr>
            <w:tcW w:w="2837" w:type="dxa"/>
          </w:tcPr>
          <w:p w14:paraId="633742BE" w14:textId="77777777" w:rsidR="009A7F3F" w:rsidRPr="00DA4E40" w:rsidRDefault="009A7F3F" w:rsidP="00A026FA">
            <w:pPr>
              <w:spacing w:line="480" w:lineRule="exact"/>
              <w:rPr>
                <w:rFonts w:asciiTheme="minorEastAsia" w:hAnsiTheme="minorEastAsia"/>
                <w:szCs w:val="21"/>
              </w:rPr>
            </w:pPr>
          </w:p>
        </w:tc>
      </w:tr>
      <w:tr w:rsidR="009A7F3F" w:rsidRPr="00DA4E40" w14:paraId="1E056410" w14:textId="77777777" w:rsidTr="00C65E2D">
        <w:trPr>
          <w:trHeight w:val="87"/>
          <w:jc w:val="center"/>
        </w:trPr>
        <w:tc>
          <w:tcPr>
            <w:tcW w:w="2836" w:type="dxa"/>
          </w:tcPr>
          <w:p w14:paraId="0C4B6285"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3分钟</w:t>
            </w:r>
          </w:p>
        </w:tc>
        <w:tc>
          <w:tcPr>
            <w:tcW w:w="2837" w:type="dxa"/>
          </w:tcPr>
          <w:p w14:paraId="430F4169"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3 min</w:t>
            </w:r>
          </w:p>
        </w:tc>
        <w:tc>
          <w:tcPr>
            <w:tcW w:w="2837" w:type="dxa"/>
          </w:tcPr>
          <w:p w14:paraId="3B4D42B8" w14:textId="77777777" w:rsidR="009A7F3F" w:rsidRPr="00DA4E40" w:rsidRDefault="009A7F3F" w:rsidP="00A026FA">
            <w:pPr>
              <w:spacing w:line="480" w:lineRule="exact"/>
              <w:rPr>
                <w:rFonts w:asciiTheme="minorEastAsia" w:hAnsiTheme="minorEastAsia"/>
                <w:szCs w:val="21"/>
              </w:rPr>
            </w:pPr>
          </w:p>
        </w:tc>
      </w:tr>
      <w:tr w:rsidR="009A7F3F" w:rsidRPr="00DA4E40" w14:paraId="7C701AA7" w14:textId="77777777" w:rsidTr="00C65E2D">
        <w:trPr>
          <w:trHeight w:val="87"/>
          <w:jc w:val="center"/>
        </w:trPr>
        <w:tc>
          <w:tcPr>
            <w:tcW w:w="2836" w:type="dxa"/>
          </w:tcPr>
          <w:p w14:paraId="4FDC7DC6"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3～5天</w:t>
            </w:r>
          </w:p>
        </w:tc>
        <w:tc>
          <w:tcPr>
            <w:tcW w:w="2837" w:type="dxa"/>
          </w:tcPr>
          <w:p w14:paraId="58D1E51A"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3～5 d</w:t>
            </w:r>
          </w:p>
        </w:tc>
        <w:tc>
          <w:tcPr>
            <w:tcW w:w="2837" w:type="dxa"/>
          </w:tcPr>
          <w:p w14:paraId="074EFDED" w14:textId="77777777" w:rsidR="009A7F3F" w:rsidRPr="00DA4E40" w:rsidRDefault="009A7F3F" w:rsidP="00A026FA">
            <w:pPr>
              <w:spacing w:line="480" w:lineRule="exact"/>
              <w:rPr>
                <w:rFonts w:asciiTheme="minorEastAsia" w:hAnsiTheme="minorEastAsia"/>
                <w:szCs w:val="21"/>
              </w:rPr>
            </w:pPr>
          </w:p>
        </w:tc>
      </w:tr>
      <w:tr w:rsidR="009A7F3F" w:rsidRPr="00DA4E40" w14:paraId="5B80DF65" w14:textId="77777777" w:rsidTr="00C65E2D">
        <w:trPr>
          <w:trHeight w:val="87"/>
          <w:jc w:val="center"/>
        </w:trPr>
        <w:tc>
          <w:tcPr>
            <w:tcW w:w="2836" w:type="dxa"/>
          </w:tcPr>
          <w:p w14:paraId="73BB634A"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0.5～</w:t>
            </w:r>
            <w:smartTag w:uri="urn:schemas-microsoft-com:office:smarttags" w:element="chmetcnv">
              <w:smartTagPr>
                <w:attr w:name="TCSC" w:val="0"/>
                <w:attr w:name="NumberType" w:val="1"/>
                <w:attr w:name="Negative" w:val="False"/>
                <w:attr w:name="HasSpace" w:val="False"/>
                <w:attr w:name="SourceValue" w:val="1"/>
                <w:attr w:name="UnitName" w:val="g"/>
              </w:smartTagPr>
              <w:r w:rsidRPr="00DA4E40">
                <w:rPr>
                  <w:rFonts w:asciiTheme="minorEastAsia" w:hAnsiTheme="minorEastAsia" w:hint="eastAsia"/>
                  <w:szCs w:val="21"/>
                </w:rPr>
                <w:t>1.0g</w:t>
              </w:r>
            </w:smartTag>
            <w:r w:rsidRPr="00DA4E40">
              <w:rPr>
                <w:rFonts w:asciiTheme="minorEastAsia" w:hAnsiTheme="minorEastAsia" w:hint="eastAsia"/>
                <w:szCs w:val="21"/>
              </w:rPr>
              <w:t>/d/kg</w:t>
            </w:r>
          </w:p>
        </w:tc>
        <w:tc>
          <w:tcPr>
            <w:tcW w:w="2837" w:type="dxa"/>
          </w:tcPr>
          <w:p w14:paraId="76DCFA00"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0.5～</w:t>
            </w:r>
            <w:smartTag w:uri="urn:schemas-microsoft-com:office:smarttags" w:element="chmetcnv">
              <w:smartTagPr>
                <w:attr w:name="TCSC" w:val="0"/>
                <w:attr w:name="NumberType" w:val="1"/>
                <w:attr w:name="Negative" w:val="False"/>
                <w:attr w:name="HasSpace" w:val="False"/>
                <w:attr w:name="SourceValue" w:val="1"/>
                <w:attr w:name="UnitName" w:val="g"/>
              </w:smartTagPr>
              <w:r w:rsidRPr="00DA4E40">
                <w:rPr>
                  <w:rFonts w:asciiTheme="minorEastAsia" w:hAnsiTheme="minorEastAsia" w:hint="eastAsia"/>
                  <w:szCs w:val="21"/>
                </w:rPr>
                <w:t>1.0g</w:t>
              </w:r>
            </w:smartTag>
            <w:r w:rsidRPr="00DA4E40">
              <w:rPr>
                <w:rFonts w:asciiTheme="minorEastAsia" w:hAnsiTheme="minorEastAsia" w:hint="eastAsia"/>
                <w:szCs w:val="21"/>
              </w:rPr>
              <w:t>/(d/kg)</w:t>
            </w:r>
          </w:p>
        </w:tc>
        <w:tc>
          <w:tcPr>
            <w:tcW w:w="2837" w:type="dxa"/>
          </w:tcPr>
          <w:p w14:paraId="166FD667" w14:textId="77777777" w:rsidR="009A7F3F" w:rsidRPr="00DA4E40" w:rsidRDefault="009A7F3F" w:rsidP="00A026FA">
            <w:pPr>
              <w:spacing w:line="480" w:lineRule="exact"/>
              <w:rPr>
                <w:rFonts w:asciiTheme="minorEastAsia" w:hAnsiTheme="minorEastAsia"/>
                <w:szCs w:val="21"/>
              </w:rPr>
            </w:pPr>
          </w:p>
        </w:tc>
      </w:tr>
      <w:tr w:rsidR="009A7F3F" w:rsidRPr="00DA4E40" w14:paraId="319A1939" w14:textId="77777777" w:rsidTr="00C65E2D">
        <w:trPr>
          <w:trHeight w:val="146"/>
          <w:jc w:val="center"/>
        </w:trPr>
        <w:tc>
          <w:tcPr>
            <w:tcW w:w="2836" w:type="dxa"/>
          </w:tcPr>
          <w:p w14:paraId="7A070572"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4ml/头</w:t>
            </w:r>
          </w:p>
        </w:tc>
        <w:tc>
          <w:tcPr>
            <w:tcW w:w="2837" w:type="dxa"/>
          </w:tcPr>
          <w:p w14:paraId="7A68EBDC"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4 mL/头</w:t>
            </w:r>
          </w:p>
        </w:tc>
        <w:tc>
          <w:tcPr>
            <w:tcW w:w="2837" w:type="dxa"/>
          </w:tcPr>
          <w:p w14:paraId="262D4418"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L要大写</w:t>
            </w:r>
          </w:p>
        </w:tc>
      </w:tr>
      <w:tr w:rsidR="009A7F3F" w:rsidRPr="00DA4E40" w14:paraId="0A3E72B6" w14:textId="77777777" w:rsidTr="00C65E2D">
        <w:trPr>
          <w:trHeight w:val="288"/>
          <w:jc w:val="center"/>
        </w:trPr>
        <w:tc>
          <w:tcPr>
            <w:tcW w:w="2836" w:type="dxa"/>
          </w:tcPr>
          <w:p w14:paraId="7FC664A3"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1.86亿度电</w:t>
            </w:r>
          </w:p>
        </w:tc>
        <w:tc>
          <w:tcPr>
            <w:tcW w:w="2837" w:type="dxa"/>
          </w:tcPr>
          <w:p w14:paraId="790FC59C"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1.86 kwh</w:t>
            </w:r>
          </w:p>
        </w:tc>
        <w:tc>
          <w:tcPr>
            <w:tcW w:w="2837" w:type="dxa"/>
          </w:tcPr>
          <w:p w14:paraId="6D1CF060" w14:textId="77777777" w:rsidR="009A7F3F" w:rsidRPr="00DA4E40" w:rsidRDefault="009A7F3F" w:rsidP="00A026FA">
            <w:pPr>
              <w:spacing w:line="480" w:lineRule="exact"/>
              <w:rPr>
                <w:rFonts w:asciiTheme="minorEastAsia" w:hAnsiTheme="minorEastAsia"/>
                <w:szCs w:val="21"/>
              </w:rPr>
            </w:pPr>
          </w:p>
        </w:tc>
      </w:tr>
      <w:tr w:rsidR="009A7F3F" w:rsidRPr="00DA4E40" w14:paraId="4AF84ED2" w14:textId="77777777" w:rsidTr="00C65E2D">
        <w:trPr>
          <w:trHeight w:val="288"/>
          <w:jc w:val="center"/>
        </w:trPr>
        <w:tc>
          <w:tcPr>
            <w:tcW w:w="2836" w:type="dxa"/>
          </w:tcPr>
          <w:p w14:paraId="18C36FE2"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55～60万</w:t>
            </w:r>
          </w:p>
        </w:tc>
        <w:tc>
          <w:tcPr>
            <w:tcW w:w="2837" w:type="dxa"/>
          </w:tcPr>
          <w:p w14:paraId="1CA7FAAF"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55万～60万</w:t>
            </w:r>
          </w:p>
        </w:tc>
        <w:tc>
          <w:tcPr>
            <w:tcW w:w="2837" w:type="dxa"/>
          </w:tcPr>
          <w:p w14:paraId="7348CD49" w14:textId="77777777" w:rsidR="009A7F3F" w:rsidRPr="00DA4E40" w:rsidRDefault="009A7F3F" w:rsidP="00A026FA">
            <w:pPr>
              <w:spacing w:line="480" w:lineRule="exact"/>
              <w:rPr>
                <w:rFonts w:asciiTheme="minorEastAsia" w:hAnsiTheme="minorEastAsia"/>
                <w:szCs w:val="21"/>
              </w:rPr>
            </w:pPr>
          </w:p>
        </w:tc>
      </w:tr>
      <w:tr w:rsidR="009A7F3F" w:rsidRPr="00DA4E40" w14:paraId="67BE0856" w14:textId="77777777" w:rsidTr="00C65E2D">
        <w:trPr>
          <w:trHeight w:val="288"/>
          <w:jc w:val="center"/>
        </w:trPr>
        <w:tc>
          <w:tcPr>
            <w:tcW w:w="2836" w:type="dxa"/>
          </w:tcPr>
          <w:p w14:paraId="32F4BE4F"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4</w:t>
            </w:r>
            <w:r w:rsidRPr="00DA4E40">
              <w:rPr>
                <w:rFonts w:asciiTheme="minorEastAsia" w:hAnsiTheme="minorEastAsia"/>
                <w:szCs w:val="21"/>
              </w:rPr>
              <w:t>-</w:t>
            </w:r>
            <w:r w:rsidRPr="00DA4E40">
              <w:rPr>
                <w:rFonts w:asciiTheme="minorEastAsia" w:hAnsiTheme="minorEastAsia" w:hint="eastAsia"/>
                <w:szCs w:val="21"/>
              </w:rPr>
              <w:t>8月份</w:t>
            </w:r>
          </w:p>
        </w:tc>
        <w:tc>
          <w:tcPr>
            <w:tcW w:w="2837" w:type="dxa"/>
          </w:tcPr>
          <w:p w14:paraId="7235A560"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4－8月份</w:t>
            </w:r>
          </w:p>
        </w:tc>
        <w:tc>
          <w:tcPr>
            <w:tcW w:w="2837" w:type="dxa"/>
          </w:tcPr>
          <w:p w14:paraId="0F165B6C"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是一字线</w:t>
            </w:r>
          </w:p>
        </w:tc>
      </w:tr>
      <w:tr w:rsidR="009A7F3F" w:rsidRPr="00DA4E40" w14:paraId="3224FE18" w14:textId="77777777" w:rsidTr="00C65E2D">
        <w:trPr>
          <w:trHeight w:val="288"/>
          <w:jc w:val="center"/>
        </w:trPr>
        <w:tc>
          <w:tcPr>
            <w:tcW w:w="2836" w:type="dxa"/>
          </w:tcPr>
          <w:p w14:paraId="0052BDBD"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200亩</w:t>
            </w:r>
          </w:p>
        </w:tc>
        <w:tc>
          <w:tcPr>
            <w:tcW w:w="2837" w:type="dxa"/>
          </w:tcPr>
          <w:p w14:paraId="01459DC2"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13.3 hm2</w:t>
            </w:r>
          </w:p>
        </w:tc>
        <w:tc>
          <w:tcPr>
            <w:tcW w:w="2837" w:type="dxa"/>
          </w:tcPr>
          <w:p w14:paraId="66C1C164" w14:textId="77777777" w:rsidR="009A7F3F" w:rsidRPr="00DA4E40" w:rsidRDefault="009A7F3F" w:rsidP="00A026FA">
            <w:pPr>
              <w:spacing w:line="480" w:lineRule="exact"/>
              <w:rPr>
                <w:rFonts w:asciiTheme="minorEastAsia" w:hAnsiTheme="minorEastAsia"/>
                <w:szCs w:val="21"/>
              </w:rPr>
            </w:pPr>
          </w:p>
        </w:tc>
      </w:tr>
      <w:tr w:rsidR="009A7F3F" w:rsidRPr="00DA4E40" w14:paraId="79BF1F67" w14:textId="77777777" w:rsidTr="00C65E2D">
        <w:trPr>
          <w:trHeight w:val="288"/>
          <w:jc w:val="center"/>
        </w:trPr>
        <w:tc>
          <w:tcPr>
            <w:tcW w:w="2836" w:type="dxa"/>
          </w:tcPr>
          <w:p w14:paraId="5034B8EF"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1两半至2两</w:t>
            </w:r>
          </w:p>
        </w:tc>
        <w:tc>
          <w:tcPr>
            <w:tcW w:w="2837" w:type="dxa"/>
          </w:tcPr>
          <w:p w14:paraId="11A776FA"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75～</w:t>
            </w:r>
            <w:smartTag w:uri="urn:schemas-microsoft-com:office:smarttags" w:element="chmetcnv">
              <w:smartTagPr>
                <w:attr w:name="TCSC" w:val="0"/>
                <w:attr w:name="NumberType" w:val="1"/>
                <w:attr w:name="Negative" w:val="False"/>
                <w:attr w:name="HasSpace" w:val="True"/>
                <w:attr w:name="SourceValue" w:val="100"/>
                <w:attr w:name="UnitName" w:val="g"/>
              </w:smartTagPr>
              <w:r w:rsidRPr="00DA4E40">
                <w:rPr>
                  <w:rFonts w:asciiTheme="minorEastAsia" w:hAnsiTheme="minorEastAsia" w:hint="eastAsia"/>
                  <w:szCs w:val="21"/>
                </w:rPr>
                <w:t>100 g</w:t>
              </w:r>
            </w:smartTag>
          </w:p>
        </w:tc>
        <w:tc>
          <w:tcPr>
            <w:tcW w:w="2837" w:type="dxa"/>
          </w:tcPr>
          <w:p w14:paraId="608C199A" w14:textId="77777777" w:rsidR="009A7F3F" w:rsidRPr="00DA4E40" w:rsidRDefault="009A7F3F" w:rsidP="00A026FA">
            <w:pPr>
              <w:spacing w:line="480" w:lineRule="exact"/>
              <w:rPr>
                <w:rFonts w:asciiTheme="minorEastAsia" w:hAnsiTheme="minorEastAsia"/>
                <w:szCs w:val="21"/>
              </w:rPr>
            </w:pPr>
          </w:p>
        </w:tc>
      </w:tr>
      <w:tr w:rsidR="009A7F3F" w:rsidRPr="00DA4E40" w14:paraId="5905D2E7" w14:textId="77777777" w:rsidTr="00C65E2D">
        <w:trPr>
          <w:trHeight w:val="297"/>
          <w:jc w:val="center"/>
        </w:trPr>
        <w:tc>
          <w:tcPr>
            <w:tcW w:w="2836" w:type="dxa"/>
          </w:tcPr>
          <w:p w14:paraId="3424B94A"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lastRenderedPageBreak/>
              <w:t>50～100 公里</w:t>
            </w:r>
          </w:p>
        </w:tc>
        <w:tc>
          <w:tcPr>
            <w:tcW w:w="2837" w:type="dxa"/>
          </w:tcPr>
          <w:p w14:paraId="7FE523EC" w14:textId="77777777"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50～</w:t>
            </w:r>
            <w:smartTag w:uri="urn:schemas-microsoft-com:office:smarttags" w:element="chmetcnv">
              <w:smartTagPr>
                <w:attr w:name="TCSC" w:val="0"/>
                <w:attr w:name="NumberType" w:val="1"/>
                <w:attr w:name="Negative" w:val="False"/>
                <w:attr w:name="HasSpace" w:val="True"/>
                <w:attr w:name="SourceValue" w:val="100"/>
                <w:attr w:name="UnitName" w:val="km"/>
              </w:smartTagPr>
              <w:r w:rsidRPr="00DA4E40">
                <w:rPr>
                  <w:rFonts w:asciiTheme="minorEastAsia" w:hAnsiTheme="minorEastAsia" w:hint="eastAsia"/>
                  <w:szCs w:val="21"/>
                </w:rPr>
                <w:t>100 km</w:t>
              </w:r>
            </w:smartTag>
          </w:p>
        </w:tc>
        <w:tc>
          <w:tcPr>
            <w:tcW w:w="2837" w:type="dxa"/>
          </w:tcPr>
          <w:p w14:paraId="149FFEFC" w14:textId="77777777" w:rsidR="009A7F3F" w:rsidRPr="00DA4E40" w:rsidRDefault="009A7F3F" w:rsidP="00A026FA">
            <w:pPr>
              <w:spacing w:line="480" w:lineRule="exact"/>
              <w:rPr>
                <w:rFonts w:asciiTheme="minorEastAsia" w:hAnsiTheme="minorEastAsia"/>
                <w:szCs w:val="21"/>
              </w:rPr>
            </w:pPr>
          </w:p>
        </w:tc>
      </w:tr>
    </w:tbl>
    <w:p w14:paraId="4F78BB16" w14:textId="77777777" w:rsidR="009A7F3F" w:rsidRDefault="009A7F3F" w:rsidP="009A7F3F">
      <w:pPr>
        <w:spacing w:line="480" w:lineRule="exact"/>
        <w:ind w:firstLineChars="200" w:firstLine="600"/>
        <w:rPr>
          <w:rFonts w:ascii="仿宋_GB2312" w:eastAsia="仿宋_GB2312" w:hAnsi="宋体"/>
          <w:sz w:val="30"/>
          <w:szCs w:val="30"/>
        </w:rPr>
      </w:pPr>
    </w:p>
    <w:p w14:paraId="65AE2CA8" w14:textId="77777777"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6数值的修约</w:t>
      </w:r>
    </w:p>
    <w:p w14:paraId="65F417EC" w14:textId="77777777" w:rsidR="009A7F3F" w:rsidRDefault="009A7F3F" w:rsidP="009A7F3F">
      <w:pPr>
        <w:ind w:firstLineChars="200" w:firstLine="600"/>
        <w:rPr>
          <w:szCs w:val="21"/>
        </w:rPr>
      </w:pPr>
      <w:r>
        <w:rPr>
          <w:rFonts w:ascii="仿宋_GB2312" w:eastAsia="仿宋_GB2312" w:hAnsi="宋体" w:hint="eastAsia"/>
          <w:sz w:val="30"/>
          <w:szCs w:val="30"/>
        </w:rPr>
        <w:t>1）对实验测定和计算所得的各种数值常常要进行修约，不少人在修约时简单地采用纯数学的四舍五入方法，这是不正确的。关于数的修约可以概括为易于记忆的如下口诀。见表1。</w:t>
      </w:r>
    </w:p>
    <w:p w14:paraId="6046B257" w14:textId="77777777" w:rsidR="009A7F3F" w:rsidRDefault="009A7F3F" w:rsidP="009A7F3F">
      <w:pPr>
        <w:ind w:firstLineChars="200" w:firstLine="420"/>
        <w:jc w:val="center"/>
        <w:rPr>
          <w:szCs w:val="21"/>
        </w:rPr>
      </w:pPr>
      <w:r>
        <w:rPr>
          <w:rFonts w:hint="eastAsia"/>
          <w:noProof/>
          <w:szCs w:val="21"/>
        </w:rPr>
        <w:drawing>
          <wp:inline distT="0" distB="0" distL="0" distR="0" wp14:anchorId="62D1A9A6" wp14:editId="20662E48">
            <wp:extent cx="4543425" cy="2857500"/>
            <wp:effectExtent l="0" t="0" r="9525" b="0"/>
            <wp:docPr id="1" name="图片 1" descr="P192%20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92%20表1"/>
                    <pic:cNvPicPr>
                      <a:picLocks noChangeAspect="1" noChangeArrowheads="1"/>
                    </pic:cNvPicPr>
                  </pic:nvPicPr>
                  <pic:blipFill>
                    <a:blip r:embed="rId12">
                      <a:lum contrast="18000"/>
                      <a:extLst>
                        <a:ext uri="{28A0092B-C50C-407E-A947-70E740481C1C}">
                          <a14:useLocalDpi xmlns:a14="http://schemas.microsoft.com/office/drawing/2010/main" val="0"/>
                        </a:ext>
                      </a:extLst>
                    </a:blip>
                    <a:srcRect/>
                    <a:stretch>
                      <a:fillRect/>
                    </a:stretch>
                  </pic:blipFill>
                  <pic:spPr bwMode="auto">
                    <a:xfrm>
                      <a:off x="0" y="0"/>
                      <a:ext cx="4543425" cy="2857500"/>
                    </a:xfrm>
                    <a:prstGeom prst="rect">
                      <a:avLst/>
                    </a:prstGeom>
                    <a:noFill/>
                    <a:ln>
                      <a:noFill/>
                    </a:ln>
                  </pic:spPr>
                </pic:pic>
              </a:graphicData>
            </a:graphic>
          </wp:inline>
        </w:drawing>
      </w:r>
    </w:p>
    <w:p w14:paraId="1334AC3E" w14:textId="77777777" w:rsidR="009A7F3F" w:rsidRDefault="009A7F3F" w:rsidP="009A7F3F">
      <w:pPr>
        <w:spacing w:line="480" w:lineRule="exact"/>
        <w:ind w:firstLineChars="200" w:firstLine="600"/>
        <w:jc w:val="center"/>
        <w:rPr>
          <w:rFonts w:ascii="仿宋_GB2312" w:eastAsia="仿宋_GB2312" w:hAnsi="宋体"/>
          <w:sz w:val="30"/>
          <w:szCs w:val="30"/>
        </w:rPr>
      </w:pPr>
    </w:p>
    <w:p w14:paraId="66C08AEE"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2）对于极大值或极小值，经单位换算后进行修约时，应遵循“极大值只舍不入，极小值只入不舍”的原则</w:t>
      </w:r>
    </w:p>
    <w:p w14:paraId="039EC673"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例如：最大体积为</w:t>
      </w:r>
      <w:smartTag w:uri="urn:schemas-microsoft-com:office:smarttags" w:element="chmetcnv">
        <w:smartTagPr>
          <w:attr w:name="TCSC" w:val="0"/>
          <w:attr w:name="NumberType" w:val="1"/>
          <w:attr w:name="Negative" w:val="False"/>
          <w:attr w:name="HasSpace" w:val="True"/>
          <w:attr w:name="SourceValue" w:val="8"/>
          <w:attr w:name="UnitName" w:val="gal"/>
        </w:smartTagPr>
        <w:r>
          <w:rPr>
            <w:rFonts w:ascii="仿宋_GB2312" w:eastAsia="仿宋_GB2312" w:hAnsi="宋体" w:hint="eastAsia"/>
            <w:sz w:val="30"/>
            <w:szCs w:val="30"/>
          </w:rPr>
          <w:t>8 gal</w:t>
        </w:r>
      </w:smartTag>
      <w:r>
        <w:rPr>
          <w:rFonts w:ascii="仿宋_GB2312" w:eastAsia="仿宋_GB2312" w:hAnsi="宋体" w:hint="eastAsia"/>
          <w:sz w:val="30"/>
          <w:szCs w:val="30"/>
        </w:rPr>
        <w:t>，将单位换算成L，保留3位有效数字。按</w:t>
      </w:r>
      <w:smartTag w:uri="urn:schemas-microsoft-com:office:smarttags" w:element="chmetcnv">
        <w:smartTagPr>
          <w:attr w:name="TCSC" w:val="0"/>
          <w:attr w:name="NumberType" w:val="1"/>
          <w:attr w:name="Negative" w:val="False"/>
          <w:attr w:name="HasSpace" w:val="True"/>
          <w:attr w:name="SourceValue" w:val="1"/>
          <w:attr w:name="UnitName" w:val="gal"/>
        </w:smartTagPr>
        <w:r>
          <w:rPr>
            <w:rFonts w:ascii="仿宋_GB2312" w:eastAsia="仿宋_GB2312" w:hAnsi="宋体" w:hint="eastAsia"/>
            <w:sz w:val="30"/>
            <w:szCs w:val="30"/>
          </w:rPr>
          <w:t>1 gal</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True"/>
          <w:attr w:name="SourceValue" w:val="4.546"/>
          <w:attr w:name="UnitName" w:val="l"/>
        </w:smartTagPr>
        <w:r>
          <w:rPr>
            <w:rFonts w:ascii="仿宋_GB2312" w:eastAsia="仿宋_GB2312" w:hAnsi="宋体" w:hint="eastAsia"/>
            <w:sz w:val="30"/>
            <w:szCs w:val="30"/>
          </w:rPr>
          <w:t>4.546 L</w:t>
        </w:r>
      </w:smartTag>
      <w:r>
        <w:rPr>
          <w:rFonts w:ascii="仿宋_GB2312" w:eastAsia="仿宋_GB2312" w:hAnsi="宋体" w:hint="eastAsia"/>
          <w:sz w:val="30"/>
          <w:szCs w:val="30"/>
        </w:rPr>
        <w:t xml:space="preserve">，得 </w:t>
      </w:r>
      <w:smartTag w:uri="urn:schemas-microsoft-com:office:smarttags" w:element="chmetcnv">
        <w:smartTagPr>
          <w:attr w:name="TCSC" w:val="0"/>
          <w:attr w:name="NumberType" w:val="1"/>
          <w:attr w:name="Negative" w:val="False"/>
          <w:attr w:name="HasSpace" w:val="True"/>
          <w:attr w:name="SourceValue" w:val="8"/>
          <w:attr w:name="UnitName" w:val="gal"/>
        </w:smartTagPr>
        <w:r>
          <w:rPr>
            <w:rFonts w:ascii="仿宋_GB2312" w:eastAsia="仿宋_GB2312" w:hAnsi="宋体" w:hint="eastAsia"/>
            <w:sz w:val="30"/>
            <w:szCs w:val="30"/>
          </w:rPr>
          <w:t>8 gal</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True"/>
          <w:attr w:name="SourceValue" w:val="36.368"/>
          <w:attr w:name="UnitName" w:val="l"/>
        </w:smartTagPr>
        <w:r>
          <w:rPr>
            <w:rFonts w:ascii="仿宋_GB2312" w:eastAsia="仿宋_GB2312" w:hAnsi="宋体" w:hint="eastAsia"/>
            <w:sz w:val="30"/>
            <w:szCs w:val="30"/>
          </w:rPr>
          <w:t>36.368 L</w:t>
        </w:r>
      </w:smartTag>
      <w:r>
        <w:rPr>
          <w:rFonts w:ascii="仿宋_GB2312" w:eastAsia="仿宋_GB2312" w:hAnsi="宋体" w:hint="eastAsia"/>
          <w:sz w:val="30"/>
          <w:szCs w:val="30"/>
        </w:rPr>
        <w:t>。由于只要求保留3位有效数字，根据极大值只舍不入的修约原则，应修约成</w:t>
      </w:r>
      <w:smartTag w:uri="urn:schemas-microsoft-com:office:smarttags" w:element="chmetcnv">
        <w:smartTagPr>
          <w:attr w:name="TCSC" w:val="0"/>
          <w:attr w:name="NumberType" w:val="1"/>
          <w:attr w:name="Negative" w:val="False"/>
          <w:attr w:name="HasSpace" w:val="True"/>
          <w:attr w:name="SourceValue" w:val="36.3"/>
          <w:attr w:name="UnitName" w:val="l"/>
        </w:smartTagPr>
        <w:r>
          <w:rPr>
            <w:rFonts w:ascii="仿宋_GB2312" w:eastAsia="仿宋_GB2312" w:hAnsi="宋体" w:hint="eastAsia"/>
            <w:sz w:val="30"/>
            <w:szCs w:val="30"/>
          </w:rPr>
          <w:t>36.3 L</w:t>
        </w:r>
      </w:smartTag>
      <w:r>
        <w:rPr>
          <w:rFonts w:ascii="仿宋_GB2312" w:eastAsia="仿宋_GB2312" w:hAnsi="宋体" w:hint="eastAsia"/>
          <w:sz w:val="30"/>
          <w:szCs w:val="30"/>
        </w:rPr>
        <w:t>。有人把它修约成</w:t>
      </w:r>
      <w:smartTag w:uri="urn:schemas-microsoft-com:office:smarttags" w:element="chmetcnv">
        <w:smartTagPr>
          <w:attr w:name="TCSC" w:val="0"/>
          <w:attr w:name="NumberType" w:val="1"/>
          <w:attr w:name="Negative" w:val="False"/>
          <w:attr w:name="HasSpace" w:val="True"/>
          <w:attr w:name="SourceValue" w:val="36.4"/>
          <w:attr w:name="UnitName" w:val="l"/>
        </w:smartTagPr>
        <w:r>
          <w:rPr>
            <w:rFonts w:ascii="仿宋_GB2312" w:eastAsia="仿宋_GB2312" w:hAnsi="宋体" w:hint="eastAsia"/>
            <w:sz w:val="30"/>
            <w:szCs w:val="30"/>
          </w:rPr>
          <w:t>36.4 L</w:t>
        </w:r>
      </w:smartTag>
      <w:r>
        <w:rPr>
          <w:rFonts w:ascii="仿宋_GB2312" w:eastAsia="仿宋_GB2312" w:hAnsi="宋体" w:hint="eastAsia"/>
          <w:sz w:val="30"/>
          <w:szCs w:val="30"/>
        </w:rPr>
        <w:t>，显然错了。36.368已经是极大值了，修约成</w:t>
      </w:r>
      <w:smartTag w:uri="urn:schemas-microsoft-com:office:smarttags" w:element="chmetcnv">
        <w:smartTagPr>
          <w:attr w:name="TCSC" w:val="0"/>
          <w:attr w:name="NumberType" w:val="1"/>
          <w:attr w:name="Negative" w:val="False"/>
          <w:attr w:name="HasSpace" w:val="True"/>
          <w:attr w:name="SourceValue" w:val="36.4"/>
          <w:attr w:name="UnitName" w:val="l"/>
        </w:smartTagPr>
        <w:r>
          <w:rPr>
            <w:rFonts w:ascii="仿宋_GB2312" w:eastAsia="仿宋_GB2312" w:hAnsi="宋体" w:hint="eastAsia"/>
            <w:sz w:val="30"/>
            <w:szCs w:val="30"/>
          </w:rPr>
          <w:t>36.4 L</w:t>
        </w:r>
      </w:smartTag>
      <w:r>
        <w:rPr>
          <w:rFonts w:ascii="仿宋_GB2312" w:eastAsia="仿宋_GB2312" w:hAnsi="宋体" w:hint="eastAsia"/>
          <w:sz w:val="30"/>
          <w:szCs w:val="30"/>
        </w:rPr>
        <w:t>就变得更大了。</w:t>
      </w:r>
    </w:p>
    <w:p w14:paraId="7D2FD229" w14:textId="77777777"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八、结论</w:t>
      </w:r>
    </w:p>
    <w:p w14:paraId="2E9E6B6D"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1）结论是文章的主要结果、论点的提炼与概括，应准确、简明、完整、有条理。</w:t>
      </w:r>
    </w:p>
    <w:p w14:paraId="0E8C0A3E"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2）如果不能导出结论，也可以没有“结论”而进行必要的讨论。</w:t>
      </w:r>
      <w:r>
        <w:rPr>
          <w:rFonts w:ascii="仿宋_GB2312" w:eastAsia="仿宋_GB2312" w:hAnsi="宋体" w:hint="eastAsia"/>
          <w:sz w:val="30"/>
          <w:szCs w:val="30"/>
        </w:rPr>
        <w:lastRenderedPageBreak/>
        <w:t>可以在结论或讨论中提出建议或待解决的问题。</w:t>
      </w:r>
    </w:p>
    <w:p w14:paraId="2D71B79A" w14:textId="77777777"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九、参考文献</w:t>
      </w:r>
    </w:p>
    <w:p w14:paraId="7E9D68EE"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1  著录原则和方法</w:t>
      </w:r>
    </w:p>
    <w:p w14:paraId="77CF786E"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1）为了反映论文的科学依据和作者尊重他人研究成果的严肃态度以及向读者提供有关信息的出处，应在论文的结论之后列出参考文献表。</w:t>
      </w:r>
    </w:p>
    <w:p w14:paraId="6D4C0B78"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2）参考文献表中列出的一般应限于作者直接阅读过的、最主要的、发表在正式出版物上的文献。私人通信和未公开发表的资料，一般不宜列入参考文献表，可紧跟在引用的内容之后注释或标注在当页的地脚。</w:t>
      </w:r>
    </w:p>
    <w:p w14:paraId="1960F002"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3）参考文献的著录应执行GB 7714－2005的规定，采用顺序编码制或著者－出版年制。</w:t>
      </w:r>
    </w:p>
    <w:p w14:paraId="36E4487B"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4）建议采用顺序编码制，其著录要求如下。</w:t>
      </w:r>
    </w:p>
    <w:p w14:paraId="6EBD62A9"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a.在引文处按论文中引用文献出现的先后用阿拉伯数字连续编序，将序号置于方括号内，并视具体情况把序号作为上角标，或作为语句的组成部分。如“</w:t>
      </w:r>
      <w:r>
        <w:rPr>
          <w:rFonts w:ascii="仿宋_GB2312" w:eastAsia="仿宋_GB2312" w:hAnsi="宋体"/>
          <w:sz w:val="30"/>
          <w:szCs w:val="30"/>
        </w:rPr>
        <w:t>……</w:t>
      </w:r>
      <w:r>
        <w:rPr>
          <w:rFonts w:ascii="仿宋_GB2312" w:eastAsia="仿宋_GB2312" w:hAnsi="宋体" w:hint="eastAsia"/>
          <w:sz w:val="30"/>
          <w:szCs w:val="30"/>
        </w:rPr>
        <w:t>张××[1]、王××[2,3]李××等[4-6]对这一现象作了研究，数学模型见文献[7]。”</w:t>
      </w:r>
    </w:p>
    <w:p w14:paraId="727ECE46"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b.参考文献表的著录按在文章中引用的顺序排列，一般采用小于论文正文的字号编排。</w:t>
      </w:r>
    </w:p>
    <w:p w14:paraId="05BC4E64"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 参考文献表中的每条文献著录项目应齐全，对相同的项目不得用“同上”或“ibid”等表示。</w:t>
      </w:r>
    </w:p>
    <w:p w14:paraId="241808A7"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 参考文献表中，文献的作者不超过3位时，全部列出；超过3位时，只列前3位，后面加“，等”字或相应的外文；作者姓名之间不用“和”或“and”，而用“，”分开；中国人和外国人的姓名一律采用姓前名后著录法。西文作者的名字部分可缩写，并省略缩写点“.”。</w:t>
      </w:r>
    </w:p>
    <w:p w14:paraId="4910BC98" w14:textId="77777777" w:rsidR="009A7F3F" w:rsidRDefault="009A7F3F" w:rsidP="009A7F3F">
      <w:pPr>
        <w:spacing w:line="480" w:lineRule="exact"/>
        <w:ind w:firstLineChars="100" w:firstLine="300"/>
        <w:rPr>
          <w:rFonts w:ascii="仿宋_GB2312" w:eastAsia="仿宋_GB2312" w:hAnsi="宋体"/>
          <w:sz w:val="30"/>
          <w:szCs w:val="30"/>
        </w:rPr>
      </w:pPr>
      <w:r>
        <w:rPr>
          <w:rFonts w:ascii="仿宋_GB2312" w:eastAsia="仿宋_GB2312" w:hAnsi="宋体" w:hint="eastAsia"/>
          <w:sz w:val="30"/>
          <w:szCs w:val="30"/>
        </w:rPr>
        <w:t>2  连续出版物的著录格式</w:t>
      </w:r>
    </w:p>
    <w:p w14:paraId="221FE977"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主要责任者</w:t>
      </w:r>
      <w:r>
        <w:rPr>
          <w:rFonts w:ascii="仿宋_GB2312" w:eastAsia="仿宋_GB2312" w:hAnsi="宋体"/>
          <w:sz w:val="30"/>
          <w:szCs w:val="30"/>
        </w:rPr>
        <w:t>.</w:t>
      </w:r>
      <w:r>
        <w:rPr>
          <w:rFonts w:ascii="仿宋_GB2312" w:eastAsia="仿宋_GB2312" w:hAnsi="宋体" w:hint="eastAsia"/>
          <w:sz w:val="30"/>
          <w:szCs w:val="30"/>
        </w:rPr>
        <w:t>题名：其他题名信息[文献类型标志]</w:t>
      </w:r>
      <w:r>
        <w:rPr>
          <w:rFonts w:ascii="仿宋_GB2312" w:eastAsia="仿宋_GB2312" w:hAnsi="宋体"/>
          <w:sz w:val="30"/>
          <w:szCs w:val="30"/>
        </w:rPr>
        <w:t>.</w:t>
      </w:r>
      <w:r>
        <w:rPr>
          <w:rFonts w:ascii="仿宋_GB2312" w:eastAsia="仿宋_GB2312" w:hAnsi="宋体" w:hint="eastAsia"/>
          <w:sz w:val="30"/>
          <w:szCs w:val="30"/>
        </w:rPr>
        <w:t>年，卷</w:t>
      </w:r>
      <w:r>
        <w:rPr>
          <w:rFonts w:ascii="仿宋_GB2312" w:eastAsia="仿宋_GB2312" w:hAnsi="宋体"/>
          <w:sz w:val="30"/>
          <w:szCs w:val="30"/>
        </w:rPr>
        <w:t>(</w:t>
      </w:r>
      <w:r>
        <w:rPr>
          <w:rFonts w:ascii="仿宋_GB2312" w:eastAsia="仿宋_GB2312" w:hAnsi="宋体" w:hint="eastAsia"/>
          <w:sz w:val="30"/>
          <w:szCs w:val="30"/>
        </w:rPr>
        <w:t>期</w:t>
      </w:r>
      <w:r>
        <w:rPr>
          <w:rFonts w:ascii="仿宋_GB2312" w:eastAsia="仿宋_GB2312" w:hAnsi="宋体"/>
          <w:sz w:val="30"/>
          <w:szCs w:val="30"/>
        </w:rPr>
        <w:t>)</w:t>
      </w:r>
      <w:r>
        <w:rPr>
          <w:rFonts w:ascii="仿宋_GB2312" w:eastAsia="仿宋_GB2312" w:hAnsi="宋体" w:hint="eastAsia"/>
          <w:sz w:val="30"/>
          <w:szCs w:val="30"/>
        </w:rPr>
        <w:t>-年，卷</w:t>
      </w:r>
      <w:r>
        <w:rPr>
          <w:rFonts w:ascii="仿宋_GB2312" w:eastAsia="仿宋_GB2312" w:hAnsi="宋体"/>
          <w:sz w:val="30"/>
          <w:szCs w:val="30"/>
        </w:rPr>
        <w:t>(</w:t>
      </w:r>
      <w:r>
        <w:rPr>
          <w:rFonts w:ascii="仿宋_GB2312" w:eastAsia="仿宋_GB2312" w:hAnsi="宋体" w:hint="eastAsia"/>
          <w:sz w:val="30"/>
          <w:szCs w:val="30"/>
        </w:rPr>
        <w:t>期</w:t>
      </w:r>
      <w:r>
        <w:rPr>
          <w:rFonts w:ascii="仿宋_GB2312" w:eastAsia="仿宋_GB2312" w:hAnsi="宋体"/>
          <w:sz w:val="30"/>
          <w:szCs w:val="30"/>
        </w:rPr>
        <w:t>).</w:t>
      </w:r>
      <w:r>
        <w:rPr>
          <w:rFonts w:ascii="仿宋_GB2312" w:eastAsia="仿宋_GB2312" w:hAnsi="宋体" w:hint="eastAsia"/>
          <w:sz w:val="30"/>
          <w:szCs w:val="30"/>
        </w:rPr>
        <w:t>出版地：出版者，出版年[引用日期]</w:t>
      </w:r>
      <w:r>
        <w:rPr>
          <w:rFonts w:ascii="仿宋_GB2312" w:eastAsia="仿宋_GB2312" w:hAnsi="宋体"/>
          <w:sz w:val="30"/>
          <w:szCs w:val="30"/>
        </w:rPr>
        <w:t>.</w:t>
      </w:r>
      <w:r>
        <w:rPr>
          <w:rFonts w:ascii="仿宋_GB2312" w:eastAsia="仿宋_GB2312" w:hAnsi="宋体" w:hint="eastAsia"/>
          <w:sz w:val="30"/>
          <w:szCs w:val="30"/>
        </w:rPr>
        <w:t>获取和访问路径</w:t>
      </w:r>
      <w:r>
        <w:rPr>
          <w:rFonts w:ascii="仿宋_GB2312" w:eastAsia="仿宋_GB2312" w:hAnsi="宋体"/>
          <w:sz w:val="30"/>
          <w:szCs w:val="30"/>
        </w:rPr>
        <w:t>.</w:t>
      </w:r>
    </w:p>
    <w:p w14:paraId="3D4C3054"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lastRenderedPageBreak/>
        <w:t xml:space="preserve">    示例：</w:t>
      </w:r>
    </w:p>
    <w:p w14:paraId="2EE6E5E7"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 中国地质学会</w:t>
      </w:r>
      <w:r>
        <w:rPr>
          <w:rFonts w:ascii="仿宋_GB2312" w:eastAsia="仿宋_GB2312" w:hAnsi="宋体"/>
          <w:sz w:val="30"/>
          <w:szCs w:val="30"/>
        </w:rPr>
        <w:t>.</w:t>
      </w:r>
      <w:r>
        <w:rPr>
          <w:rFonts w:ascii="仿宋_GB2312" w:eastAsia="仿宋_GB2312" w:hAnsi="宋体" w:hint="eastAsia"/>
          <w:sz w:val="30"/>
          <w:szCs w:val="30"/>
        </w:rPr>
        <w:t>地质评论[J]</w:t>
      </w:r>
      <w:r>
        <w:rPr>
          <w:rFonts w:ascii="仿宋_GB2312" w:eastAsia="仿宋_GB2312" w:hAnsi="宋体"/>
          <w:sz w:val="30"/>
          <w:szCs w:val="30"/>
        </w:rPr>
        <w:t>.</w:t>
      </w:r>
      <w:r>
        <w:rPr>
          <w:rFonts w:ascii="仿宋_GB2312" w:eastAsia="仿宋_GB2312" w:hAnsi="宋体" w:hint="eastAsia"/>
          <w:sz w:val="30"/>
          <w:szCs w:val="30"/>
        </w:rPr>
        <w:t>1936，1</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w:t>
      </w:r>
      <w:r>
        <w:rPr>
          <w:rFonts w:ascii="仿宋_GB2312" w:eastAsia="仿宋_GB2312" w:hAnsi="宋体"/>
          <w:sz w:val="30"/>
          <w:szCs w:val="30"/>
        </w:rPr>
        <w:t>.</w:t>
      </w:r>
      <w:r>
        <w:rPr>
          <w:rFonts w:ascii="仿宋_GB2312" w:eastAsia="仿宋_GB2312" w:hAnsi="宋体" w:hint="eastAsia"/>
          <w:sz w:val="30"/>
          <w:szCs w:val="30"/>
        </w:rPr>
        <w:t>北京：地质出版社，1936-</w:t>
      </w:r>
      <w:r>
        <w:rPr>
          <w:rFonts w:ascii="仿宋_GB2312" w:eastAsia="仿宋_GB2312" w:hAnsi="宋体"/>
          <w:sz w:val="30"/>
          <w:szCs w:val="30"/>
        </w:rPr>
        <w:t>.</w:t>
      </w:r>
    </w:p>
    <w:p w14:paraId="6B0E8B28"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 中国图书馆学会</w:t>
      </w:r>
      <w:r>
        <w:rPr>
          <w:rFonts w:ascii="仿宋_GB2312" w:eastAsia="仿宋_GB2312" w:hAnsi="宋体"/>
          <w:sz w:val="30"/>
          <w:szCs w:val="30"/>
        </w:rPr>
        <w:t>.</w:t>
      </w:r>
      <w:r>
        <w:rPr>
          <w:rFonts w:ascii="仿宋_GB2312" w:eastAsia="仿宋_GB2312" w:hAnsi="宋体" w:hint="eastAsia"/>
          <w:sz w:val="30"/>
          <w:szCs w:val="30"/>
        </w:rPr>
        <w:t>图书馆学通讯[J]</w:t>
      </w:r>
      <w:r>
        <w:rPr>
          <w:rFonts w:ascii="仿宋_GB2312" w:eastAsia="仿宋_GB2312" w:hAnsi="宋体"/>
          <w:sz w:val="30"/>
          <w:szCs w:val="30"/>
        </w:rPr>
        <w:t>.</w:t>
      </w:r>
      <w:r>
        <w:rPr>
          <w:rFonts w:ascii="仿宋_GB2312" w:eastAsia="仿宋_GB2312" w:hAnsi="宋体" w:hint="eastAsia"/>
          <w:sz w:val="30"/>
          <w:szCs w:val="30"/>
        </w:rPr>
        <w:t>1957</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-1990</w:t>
      </w:r>
      <w:r>
        <w:rPr>
          <w:rFonts w:ascii="仿宋_GB2312" w:eastAsia="仿宋_GB2312" w:hAnsi="宋体"/>
          <w:sz w:val="30"/>
          <w:szCs w:val="30"/>
        </w:rPr>
        <w:t>(</w:t>
      </w:r>
      <w:r>
        <w:rPr>
          <w:rFonts w:ascii="仿宋_GB2312" w:eastAsia="仿宋_GB2312" w:hAnsi="宋体" w:hint="eastAsia"/>
          <w:sz w:val="30"/>
          <w:szCs w:val="30"/>
        </w:rPr>
        <w:t>4</w:t>
      </w:r>
      <w:r>
        <w:rPr>
          <w:rFonts w:ascii="仿宋_GB2312" w:eastAsia="仿宋_GB2312" w:hAnsi="宋体"/>
          <w:sz w:val="30"/>
          <w:szCs w:val="30"/>
        </w:rPr>
        <w:t>).</w:t>
      </w:r>
      <w:r>
        <w:rPr>
          <w:rFonts w:ascii="仿宋_GB2312" w:eastAsia="仿宋_GB2312" w:hAnsi="宋体" w:hint="eastAsia"/>
          <w:sz w:val="30"/>
          <w:szCs w:val="30"/>
        </w:rPr>
        <w:t>北京：北京图书馆，1957-1990</w:t>
      </w:r>
      <w:r>
        <w:rPr>
          <w:rFonts w:ascii="仿宋_GB2312" w:eastAsia="仿宋_GB2312" w:hAnsi="宋体"/>
          <w:sz w:val="30"/>
          <w:szCs w:val="30"/>
        </w:rPr>
        <w:t>.</w:t>
      </w:r>
    </w:p>
    <w:p w14:paraId="27FD7F3C" w14:textId="77777777" w:rsidR="009A7F3F" w:rsidRDefault="009A7F3F" w:rsidP="00C65E2D">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sz w:val="30"/>
          <w:szCs w:val="30"/>
        </w:rPr>
        <w:t xml:space="preserve"> American Association for the Advancement of Science. Science</w:t>
      </w:r>
      <w:r>
        <w:rPr>
          <w:rFonts w:ascii="仿宋_GB2312" w:eastAsia="仿宋_GB2312" w:hAnsi="宋体" w:hint="eastAsia"/>
          <w:sz w:val="30"/>
          <w:szCs w:val="30"/>
        </w:rPr>
        <w:t>[</w:t>
      </w:r>
      <w:r>
        <w:rPr>
          <w:rFonts w:ascii="仿宋_GB2312" w:eastAsia="仿宋_GB2312" w:hAnsi="宋体"/>
          <w:sz w:val="30"/>
          <w:szCs w:val="30"/>
        </w:rPr>
        <w:t>J</w:t>
      </w:r>
      <w:r>
        <w:rPr>
          <w:rFonts w:ascii="仿宋_GB2312" w:eastAsia="仿宋_GB2312" w:hAnsi="宋体" w:hint="eastAsia"/>
          <w:sz w:val="30"/>
          <w:szCs w:val="30"/>
        </w:rPr>
        <w:t>]</w:t>
      </w:r>
      <w:r>
        <w:rPr>
          <w:rFonts w:ascii="仿宋_GB2312" w:eastAsia="仿宋_GB2312" w:hAnsi="宋体"/>
          <w:sz w:val="30"/>
          <w:szCs w:val="30"/>
        </w:rPr>
        <w:t>.1883,1(1)-.Washington</w:t>
      </w:r>
      <w:r w:rsidRPr="007367C1">
        <w:rPr>
          <w:rFonts w:ascii="Times New Roman" w:eastAsia="仿宋_GB2312" w:hAnsi="Times New Roman" w:cs="Times New Roman"/>
          <w:sz w:val="30"/>
          <w:szCs w:val="30"/>
        </w:rPr>
        <w:t>,</w:t>
      </w:r>
      <w:r>
        <w:rPr>
          <w:rFonts w:ascii="仿宋_GB2312" w:eastAsia="仿宋_GB2312" w:hAnsi="宋体"/>
          <w:sz w:val="30"/>
          <w:szCs w:val="30"/>
        </w:rPr>
        <w:t>D.C.</w:t>
      </w:r>
      <w:r>
        <w:rPr>
          <w:rFonts w:ascii="仿宋_GB2312" w:eastAsia="仿宋_GB2312" w:hAnsi="宋体" w:hint="eastAsia"/>
          <w:sz w:val="30"/>
          <w:szCs w:val="30"/>
        </w:rPr>
        <w:t>：</w:t>
      </w:r>
      <w:r>
        <w:rPr>
          <w:rFonts w:ascii="仿宋_GB2312" w:eastAsia="仿宋_GB2312" w:hAnsi="宋体"/>
          <w:sz w:val="30"/>
          <w:szCs w:val="30"/>
        </w:rPr>
        <w:t>American Association for the Advancement of Science,1983-.</w:t>
      </w:r>
    </w:p>
    <w:p w14:paraId="4306E475" w14:textId="77777777" w:rsidR="009A7F3F" w:rsidRDefault="009A7F3F" w:rsidP="009A7F3F">
      <w:pPr>
        <w:spacing w:line="480" w:lineRule="exact"/>
        <w:ind w:firstLineChars="100" w:firstLine="300"/>
        <w:rPr>
          <w:rFonts w:ascii="仿宋_GB2312" w:eastAsia="仿宋_GB2312" w:hAnsi="宋体"/>
          <w:sz w:val="30"/>
          <w:szCs w:val="30"/>
        </w:rPr>
      </w:pPr>
      <w:r>
        <w:rPr>
          <w:rFonts w:ascii="仿宋_GB2312" w:eastAsia="仿宋_GB2312" w:hAnsi="宋体" w:hint="eastAsia"/>
          <w:sz w:val="30"/>
          <w:szCs w:val="30"/>
        </w:rPr>
        <w:t>3  连续出版物中的析出文献</w:t>
      </w:r>
    </w:p>
    <w:p w14:paraId="7A77372A"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析出文献主要责任者</w:t>
      </w:r>
      <w:r>
        <w:rPr>
          <w:rFonts w:ascii="仿宋_GB2312" w:eastAsia="仿宋_GB2312" w:hAnsi="宋体"/>
          <w:sz w:val="30"/>
          <w:szCs w:val="30"/>
        </w:rPr>
        <w:t>.</w:t>
      </w:r>
      <w:r>
        <w:rPr>
          <w:rFonts w:ascii="仿宋_GB2312" w:eastAsia="仿宋_GB2312" w:hAnsi="宋体" w:hint="eastAsia"/>
          <w:sz w:val="30"/>
          <w:szCs w:val="30"/>
        </w:rPr>
        <w:t>析出文献题名[文献类型标志]</w:t>
      </w:r>
      <w:r>
        <w:rPr>
          <w:rFonts w:ascii="仿宋_GB2312" w:eastAsia="仿宋_GB2312" w:hAnsi="宋体"/>
          <w:sz w:val="30"/>
          <w:szCs w:val="30"/>
        </w:rPr>
        <w:t>.</w:t>
      </w:r>
      <w:r>
        <w:rPr>
          <w:rFonts w:ascii="仿宋_GB2312" w:eastAsia="仿宋_GB2312" w:hAnsi="宋体" w:hint="eastAsia"/>
          <w:sz w:val="30"/>
          <w:szCs w:val="30"/>
        </w:rPr>
        <w:t>连续出版物题名：其他题名信息，年，卷</w:t>
      </w:r>
      <w:r>
        <w:rPr>
          <w:rFonts w:ascii="仿宋_GB2312" w:eastAsia="仿宋_GB2312" w:hAnsi="宋体"/>
          <w:sz w:val="30"/>
          <w:szCs w:val="30"/>
        </w:rPr>
        <w:t>(</w:t>
      </w:r>
      <w:r>
        <w:rPr>
          <w:rFonts w:ascii="仿宋_GB2312" w:eastAsia="仿宋_GB2312" w:hAnsi="宋体" w:hint="eastAsia"/>
          <w:sz w:val="30"/>
          <w:szCs w:val="30"/>
        </w:rPr>
        <w:t>期</w:t>
      </w:r>
      <w:r>
        <w:rPr>
          <w:rFonts w:ascii="仿宋_GB2312" w:eastAsia="仿宋_GB2312" w:hAnsi="宋体"/>
          <w:sz w:val="30"/>
          <w:szCs w:val="30"/>
        </w:rPr>
        <w:t>)</w:t>
      </w:r>
      <w:r>
        <w:rPr>
          <w:rFonts w:ascii="仿宋_GB2312" w:eastAsia="仿宋_GB2312" w:hAnsi="宋体" w:hint="eastAsia"/>
          <w:sz w:val="30"/>
          <w:szCs w:val="30"/>
        </w:rPr>
        <w:t>：页码[引用日期]</w:t>
      </w:r>
      <w:r>
        <w:rPr>
          <w:rFonts w:ascii="仿宋_GB2312" w:eastAsia="仿宋_GB2312" w:hAnsi="宋体"/>
          <w:sz w:val="30"/>
          <w:szCs w:val="30"/>
        </w:rPr>
        <w:t>.</w:t>
      </w:r>
      <w:r>
        <w:rPr>
          <w:rFonts w:ascii="仿宋_GB2312" w:eastAsia="仿宋_GB2312" w:hAnsi="宋体" w:hint="eastAsia"/>
          <w:sz w:val="30"/>
          <w:szCs w:val="30"/>
        </w:rPr>
        <w:t>获取和访问路径</w:t>
      </w:r>
      <w:r>
        <w:rPr>
          <w:rFonts w:ascii="仿宋_GB2312" w:eastAsia="仿宋_GB2312" w:hAnsi="宋体"/>
          <w:sz w:val="30"/>
          <w:szCs w:val="30"/>
        </w:rPr>
        <w:t>.</w:t>
      </w:r>
    </w:p>
    <w:p w14:paraId="4A8C3E38"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 李晓东，张庆红，叶瑾琳</w:t>
      </w:r>
      <w:r>
        <w:rPr>
          <w:rFonts w:ascii="仿宋_GB2312" w:eastAsia="仿宋_GB2312" w:hAnsi="宋体"/>
          <w:sz w:val="30"/>
          <w:szCs w:val="30"/>
        </w:rPr>
        <w:t>.</w:t>
      </w:r>
      <w:r>
        <w:rPr>
          <w:rFonts w:ascii="仿宋_GB2312" w:eastAsia="仿宋_GB2312" w:hAnsi="宋体" w:hint="eastAsia"/>
          <w:sz w:val="30"/>
          <w:szCs w:val="30"/>
        </w:rPr>
        <w:t>气候学研究的若干理论问题[J]</w:t>
      </w:r>
      <w:r>
        <w:rPr>
          <w:rFonts w:ascii="仿宋_GB2312" w:eastAsia="仿宋_GB2312" w:hAnsi="宋体"/>
          <w:sz w:val="30"/>
          <w:szCs w:val="30"/>
        </w:rPr>
        <w:t>.</w:t>
      </w:r>
      <w:r>
        <w:rPr>
          <w:rFonts w:ascii="仿宋_GB2312" w:eastAsia="仿宋_GB2312" w:hAnsi="宋体" w:hint="eastAsia"/>
          <w:sz w:val="30"/>
          <w:szCs w:val="30"/>
        </w:rPr>
        <w:t>北京大学学报：自然科学版，1999，35</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：101-106</w:t>
      </w:r>
      <w:r>
        <w:rPr>
          <w:rFonts w:ascii="仿宋_GB2312" w:eastAsia="仿宋_GB2312" w:hAnsi="宋体"/>
          <w:sz w:val="30"/>
          <w:szCs w:val="30"/>
        </w:rPr>
        <w:t>.</w:t>
      </w:r>
    </w:p>
    <w:p w14:paraId="013BBCD8"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sz w:val="30"/>
          <w:szCs w:val="30"/>
        </w:rPr>
        <w:t>[</w:t>
      </w:r>
      <w:r>
        <w:rPr>
          <w:rFonts w:ascii="仿宋_GB2312" w:eastAsia="仿宋_GB2312" w:hAnsi="宋体" w:hint="eastAsia"/>
          <w:sz w:val="30"/>
          <w:szCs w:val="30"/>
        </w:rPr>
        <w:t>2</w:t>
      </w:r>
      <w:r>
        <w:rPr>
          <w:rFonts w:ascii="仿宋_GB2312" w:eastAsia="仿宋_GB2312" w:hAnsi="宋体"/>
          <w:sz w:val="30"/>
          <w:szCs w:val="30"/>
        </w:rPr>
        <w:t>]</w:t>
      </w:r>
      <w:r>
        <w:rPr>
          <w:rFonts w:ascii="仿宋_GB2312" w:eastAsia="仿宋_GB2312" w:hAnsi="宋体" w:hint="eastAsia"/>
          <w:sz w:val="30"/>
          <w:szCs w:val="30"/>
        </w:rPr>
        <w:t xml:space="preserve"> </w:t>
      </w:r>
      <w:r>
        <w:rPr>
          <w:rFonts w:ascii="仿宋_GB2312" w:eastAsia="仿宋_GB2312" w:hAnsi="宋体"/>
          <w:sz w:val="30"/>
          <w:szCs w:val="30"/>
        </w:rPr>
        <w:t>KANAMORI H. Shaking without quaking</w:t>
      </w:r>
      <w:r>
        <w:rPr>
          <w:rFonts w:ascii="仿宋_GB2312" w:eastAsia="仿宋_GB2312" w:hAnsi="宋体" w:hint="eastAsia"/>
          <w:sz w:val="30"/>
          <w:szCs w:val="30"/>
        </w:rPr>
        <w:t>[J]</w:t>
      </w:r>
      <w:r>
        <w:rPr>
          <w:rFonts w:ascii="仿宋_GB2312" w:eastAsia="仿宋_GB2312" w:hAnsi="宋体"/>
          <w:sz w:val="30"/>
          <w:szCs w:val="30"/>
        </w:rPr>
        <w:t>. Science,1998,279(5359)</w:t>
      </w:r>
      <w:r>
        <w:rPr>
          <w:rFonts w:ascii="仿宋_GB2312" w:eastAsia="仿宋_GB2312" w:hAnsi="宋体" w:hint="eastAsia"/>
          <w:sz w:val="30"/>
          <w:szCs w:val="30"/>
        </w:rPr>
        <w:t>：2063-2064</w:t>
      </w:r>
      <w:r>
        <w:rPr>
          <w:rFonts w:ascii="仿宋_GB2312" w:eastAsia="仿宋_GB2312" w:hAnsi="宋体"/>
          <w:sz w:val="30"/>
          <w:szCs w:val="30"/>
        </w:rPr>
        <w:t>.</w:t>
      </w:r>
    </w:p>
    <w:p w14:paraId="6BC85D6B"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 xml:space="preserve">[3] </w:t>
      </w:r>
      <w:r>
        <w:rPr>
          <w:rFonts w:ascii="仿宋_GB2312" w:eastAsia="仿宋_GB2312" w:hAnsi="宋体"/>
          <w:sz w:val="30"/>
          <w:szCs w:val="30"/>
        </w:rPr>
        <w:t>CAPLAN P. Cataloging internet resources</w:t>
      </w:r>
      <w:r>
        <w:rPr>
          <w:rFonts w:ascii="仿宋_GB2312" w:eastAsia="仿宋_GB2312" w:hAnsi="宋体" w:hint="eastAsia"/>
          <w:sz w:val="30"/>
          <w:szCs w:val="30"/>
        </w:rPr>
        <w:t>[J]</w:t>
      </w:r>
      <w:r>
        <w:rPr>
          <w:rFonts w:ascii="仿宋_GB2312" w:eastAsia="仿宋_GB2312" w:hAnsi="宋体"/>
          <w:sz w:val="30"/>
          <w:szCs w:val="30"/>
        </w:rPr>
        <w:t>.The Public Access Computer Systems Review,1993,4(2)</w:t>
      </w:r>
      <w:r>
        <w:rPr>
          <w:rFonts w:ascii="仿宋_GB2312" w:eastAsia="仿宋_GB2312" w:hAnsi="宋体" w:hint="eastAsia"/>
          <w:sz w:val="30"/>
          <w:szCs w:val="30"/>
        </w:rPr>
        <w:t>：61-66</w:t>
      </w:r>
      <w:r>
        <w:rPr>
          <w:rFonts w:ascii="仿宋_GB2312" w:eastAsia="仿宋_GB2312" w:hAnsi="宋体"/>
          <w:sz w:val="30"/>
          <w:szCs w:val="30"/>
        </w:rPr>
        <w:t>.</w:t>
      </w:r>
    </w:p>
    <w:p w14:paraId="00B4BF7F" w14:textId="77777777" w:rsidR="009A7F3F" w:rsidRDefault="009A7F3F" w:rsidP="009A7F3F">
      <w:pPr>
        <w:spacing w:line="480" w:lineRule="exact"/>
        <w:ind w:firstLineChars="100" w:firstLine="300"/>
        <w:rPr>
          <w:rFonts w:ascii="仿宋_GB2312" w:eastAsia="仿宋_GB2312" w:hAnsi="宋体"/>
          <w:sz w:val="30"/>
          <w:szCs w:val="30"/>
        </w:rPr>
      </w:pPr>
      <w:r>
        <w:rPr>
          <w:rFonts w:ascii="仿宋_GB2312" w:eastAsia="仿宋_GB2312" w:hAnsi="宋体" w:hint="eastAsia"/>
          <w:sz w:val="30"/>
          <w:szCs w:val="30"/>
        </w:rPr>
        <w:t>4  专著的著录格式</w:t>
      </w:r>
    </w:p>
    <w:p w14:paraId="31232043"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主要责任者</w:t>
      </w:r>
      <w:r>
        <w:rPr>
          <w:rFonts w:ascii="仿宋_GB2312" w:eastAsia="仿宋_GB2312" w:hAnsi="宋体"/>
          <w:sz w:val="30"/>
          <w:szCs w:val="30"/>
        </w:rPr>
        <w:t>.</w:t>
      </w:r>
      <w:r>
        <w:rPr>
          <w:rFonts w:ascii="仿宋_GB2312" w:eastAsia="仿宋_GB2312" w:hAnsi="宋体" w:hint="eastAsia"/>
          <w:sz w:val="30"/>
          <w:szCs w:val="30"/>
        </w:rPr>
        <w:t>题名</w:t>
      </w:r>
      <w:r>
        <w:rPr>
          <w:rFonts w:ascii="仿宋_GB2312" w:eastAsia="仿宋_GB2312" w:hAnsi="宋体"/>
          <w:sz w:val="30"/>
          <w:szCs w:val="30"/>
        </w:rPr>
        <w:t>.</w:t>
      </w:r>
      <w:r>
        <w:rPr>
          <w:rFonts w:ascii="仿宋_GB2312" w:eastAsia="仿宋_GB2312" w:hAnsi="宋体" w:hint="eastAsia"/>
          <w:sz w:val="30"/>
          <w:szCs w:val="30"/>
        </w:rPr>
        <w:t>其他题名信息[文献类型标志]</w:t>
      </w:r>
      <w:r>
        <w:rPr>
          <w:rFonts w:ascii="仿宋_GB2312" w:eastAsia="仿宋_GB2312" w:hAnsi="宋体"/>
          <w:sz w:val="30"/>
          <w:szCs w:val="30"/>
        </w:rPr>
        <w:t>.</w:t>
      </w:r>
      <w:r>
        <w:rPr>
          <w:rFonts w:ascii="仿宋_GB2312" w:eastAsia="仿宋_GB2312" w:hAnsi="宋体" w:hint="eastAsia"/>
          <w:sz w:val="30"/>
          <w:szCs w:val="30"/>
        </w:rPr>
        <w:t>其他责任者</w:t>
      </w:r>
      <w:r>
        <w:rPr>
          <w:rFonts w:ascii="仿宋_GB2312" w:eastAsia="仿宋_GB2312" w:hAnsi="宋体"/>
          <w:sz w:val="30"/>
          <w:szCs w:val="30"/>
        </w:rPr>
        <w:t>.</w:t>
      </w:r>
      <w:r>
        <w:rPr>
          <w:rFonts w:ascii="仿宋_GB2312" w:eastAsia="仿宋_GB2312" w:hAnsi="宋体" w:hint="eastAsia"/>
          <w:sz w:val="30"/>
          <w:szCs w:val="30"/>
        </w:rPr>
        <w:t>版本项</w:t>
      </w:r>
      <w:r>
        <w:rPr>
          <w:rFonts w:ascii="仿宋_GB2312" w:eastAsia="仿宋_GB2312" w:hAnsi="宋体"/>
          <w:sz w:val="30"/>
          <w:szCs w:val="30"/>
        </w:rPr>
        <w:t>.</w:t>
      </w:r>
      <w:r>
        <w:rPr>
          <w:rFonts w:ascii="仿宋_GB2312" w:eastAsia="仿宋_GB2312" w:hAnsi="宋体" w:hint="eastAsia"/>
          <w:sz w:val="30"/>
          <w:szCs w:val="30"/>
        </w:rPr>
        <w:t>出版地：出版者，出版年：引文页码[引用日期]</w:t>
      </w:r>
      <w:r>
        <w:rPr>
          <w:rFonts w:ascii="仿宋_GB2312" w:eastAsia="仿宋_GB2312" w:hAnsi="宋体"/>
          <w:sz w:val="30"/>
          <w:szCs w:val="30"/>
        </w:rPr>
        <w:t>.</w:t>
      </w:r>
      <w:r>
        <w:rPr>
          <w:rFonts w:ascii="仿宋_GB2312" w:eastAsia="仿宋_GB2312" w:hAnsi="宋体" w:hint="eastAsia"/>
          <w:sz w:val="30"/>
          <w:szCs w:val="30"/>
        </w:rPr>
        <w:t>获取和访问路径</w:t>
      </w:r>
      <w:r>
        <w:rPr>
          <w:rFonts w:ascii="仿宋_GB2312" w:eastAsia="仿宋_GB2312" w:hAnsi="宋体"/>
          <w:sz w:val="30"/>
          <w:szCs w:val="30"/>
        </w:rPr>
        <w:t>.</w:t>
      </w:r>
    </w:p>
    <w:p w14:paraId="2B997BDD"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示例：</w:t>
      </w:r>
    </w:p>
    <w:p w14:paraId="3A31A43D"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 余敏</w:t>
      </w:r>
      <w:r>
        <w:rPr>
          <w:rFonts w:ascii="仿宋_GB2312" w:eastAsia="仿宋_GB2312" w:hAnsi="宋体"/>
          <w:sz w:val="30"/>
          <w:szCs w:val="30"/>
        </w:rPr>
        <w:t>.</w:t>
      </w:r>
      <w:r>
        <w:rPr>
          <w:rFonts w:ascii="仿宋_GB2312" w:eastAsia="仿宋_GB2312" w:hAnsi="宋体" w:hint="eastAsia"/>
          <w:sz w:val="30"/>
          <w:szCs w:val="30"/>
        </w:rPr>
        <w:t>出版集团研究[M]</w:t>
      </w:r>
      <w:r>
        <w:rPr>
          <w:rFonts w:ascii="仿宋_GB2312" w:eastAsia="仿宋_GB2312" w:hAnsi="宋体"/>
          <w:sz w:val="30"/>
          <w:szCs w:val="30"/>
        </w:rPr>
        <w:t>.</w:t>
      </w:r>
      <w:r>
        <w:rPr>
          <w:rFonts w:ascii="仿宋_GB2312" w:eastAsia="仿宋_GB2312" w:hAnsi="宋体" w:hint="eastAsia"/>
          <w:sz w:val="30"/>
          <w:szCs w:val="30"/>
        </w:rPr>
        <w:t>北京：中国书籍出版社，2001：179-193</w:t>
      </w:r>
      <w:r>
        <w:rPr>
          <w:rFonts w:ascii="仿宋_GB2312" w:eastAsia="仿宋_GB2312" w:hAnsi="宋体"/>
          <w:sz w:val="30"/>
          <w:szCs w:val="30"/>
        </w:rPr>
        <w:t>.</w:t>
      </w:r>
    </w:p>
    <w:p w14:paraId="1D769D47" w14:textId="77777777"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 昂温 G，昂温 P S</w:t>
      </w:r>
      <w:r>
        <w:rPr>
          <w:rFonts w:ascii="仿宋_GB2312" w:eastAsia="仿宋_GB2312" w:hAnsi="宋体"/>
          <w:sz w:val="30"/>
          <w:szCs w:val="30"/>
        </w:rPr>
        <w:t>.</w:t>
      </w:r>
      <w:r>
        <w:rPr>
          <w:rFonts w:ascii="仿宋_GB2312" w:eastAsia="仿宋_GB2312" w:hAnsi="宋体" w:hint="eastAsia"/>
          <w:sz w:val="30"/>
          <w:szCs w:val="30"/>
        </w:rPr>
        <w:t>外国出版史[M]</w:t>
      </w:r>
      <w:r>
        <w:rPr>
          <w:rFonts w:ascii="仿宋_GB2312" w:eastAsia="仿宋_GB2312" w:hAnsi="宋体"/>
          <w:sz w:val="30"/>
          <w:szCs w:val="30"/>
        </w:rPr>
        <w:t>.</w:t>
      </w:r>
      <w:r>
        <w:rPr>
          <w:rFonts w:ascii="仿宋_GB2312" w:eastAsia="仿宋_GB2312" w:hAnsi="宋体" w:hint="eastAsia"/>
          <w:sz w:val="30"/>
          <w:szCs w:val="30"/>
        </w:rPr>
        <w:t>陈生铮，译</w:t>
      </w:r>
      <w:r>
        <w:rPr>
          <w:rFonts w:ascii="仿宋_GB2312" w:eastAsia="仿宋_GB2312" w:hAnsi="宋体"/>
          <w:sz w:val="30"/>
          <w:szCs w:val="30"/>
        </w:rPr>
        <w:t>.</w:t>
      </w:r>
      <w:r>
        <w:rPr>
          <w:rFonts w:ascii="仿宋_GB2312" w:eastAsia="仿宋_GB2312" w:hAnsi="宋体" w:hint="eastAsia"/>
          <w:sz w:val="30"/>
          <w:szCs w:val="30"/>
        </w:rPr>
        <w:t>北京：中国书籍出版社，1988</w:t>
      </w:r>
      <w:r>
        <w:rPr>
          <w:rFonts w:ascii="仿宋_GB2312" w:eastAsia="仿宋_GB2312" w:hAnsi="宋体"/>
          <w:sz w:val="30"/>
          <w:szCs w:val="30"/>
        </w:rPr>
        <w:t>.</w:t>
      </w:r>
    </w:p>
    <w:p w14:paraId="6A7C782B" w14:textId="77777777" w:rsidR="009A7F3F" w:rsidRDefault="009A7F3F" w:rsidP="009A7F3F">
      <w:pPr>
        <w:spacing w:line="480" w:lineRule="exact"/>
        <w:ind w:leftChars="64" w:left="134" w:firstLineChars="200" w:firstLine="600"/>
        <w:rPr>
          <w:rFonts w:ascii="仿宋_GB2312" w:eastAsia="仿宋_GB2312" w:hAnsi="宋体"/>
          <w:sz w:val="30"/>
          <w:szCs w:val="30"/>
        </w:rPr>
      </w:pPr>
      <w:r>
        <w:rPr>
          <w:rFonts w:ascii="仿宋_GB2312" w:eastAsia="仿宋_GB2312" w:hAnsi="宋体" w:hint="eastAsia"/>
          <w:sz w:val="30"/>
          <w:szCs w:val="30"/>
        </w:rPr>
        <w:t xml:space="preserve">[9] </w:t>
      </w:r>
      <w:r>
        <w:rPr>
          <w:rFonts w:ascii="仿宋_GB2312" w:eastAsia="仿宋_GB2312" w:hAnsi="宋体"/>
          <w:sz w:val="30"/>
          <w:szCs w:val="30"/>
        </w:rPr>
        <w:t>PIGGOT T M. The cataloguer</w:t>
      </w:r>
      <w:r w:rsidR="007367C1" w:rsidRPr="007367C1">
        <w:rPr>
          <w:rFonts w:ascii="Times New Roman" w:eastAsia="仿宋_GB2312" w:hAnsi="Times New Roman" w:cs="Times New Roman"/>
          <w:sz w:val="30"/>
          <w:szCs w:val="30"/>
        </w:rPr>
        <w:t>’</w:t>
      </w:r>
      <w:r>
        <w:rPr>
          <w:rFonts w:ascii="仿宋_GB2312" w:eastAsia="仿宋_GB2312" w:hAnsi="宋体"/>
          <w:sz w:val="30"/>
          <w:szCs w:val="30"/>
        </w:rPr>
        <w:t>s way through AACR2</w:t>
      </w:r>
      <w:r>
        <w:rPr>
          <w:rFonts w:ascii="仿宋_GB2312" w:eastAsia="仿宋_GB2312" w:hAnsi="宋体" w:hint="eastAsia"/>
          <w:sz w:val="30"/>
          <w:szCs w:val="30"/>
        </w:rPr>
        <w:t>：</w:t>
      </w:r>
      <w:r>
        <w:rPr>
          <w:rFonts w:ascii="仿宋_GB2312" w:eastAsia="仿宋_GB2312" w:hAnsi="宋体"/>
          <w:sz w:val="30"/>
          <w:szCs w:val="30"/>
        </w:rPr>
        <w:t>from document receipt to document retrieval</w:t>
      </w:r>
      <w:r>
        <w:rPr>
          <w:rFonts w:ascii="仿宋_GB2312" w:eastAsia="仿宋_GB2312" w:hAnsi="宋体" w:hint="eastAsia"/>
          <w:sz w:val="30"/>
          <w:szCs w:val="30"/>
        </w:rPr>
        <w:t>[M]</w:t>
      </w:r>
      <w:r>
        <w:rPr>
          <w:rFonts w:ascii="仿宋_GB2312" w:eastAsia="仿宋_GB2312" w:hAnsi="宋体"/>
          <w:sz w:val="30"/>
          <w:szCs w:val="30"/>
        </w:rPr>
        <w:t>.London</w:t>
      </w:r>
      <w:r>
        <w:rPr>
          <w:rFonts w:ascii="仿宋_GB2312" w:eastAsia="仿宋_GB2312" w:hAnsi="宋体" w:hint="eastAsia"/>
          <w:sz w:val="30"/>
          <w:szCs w:val="30"/>
        </w:rPr>
        <w:t>：</w:t>
      </w:r>
      <w:r>
        <w:rPr>
          <w:rFonts w:ascii="仿宋_GB2312" w:eastAsia="仿宋_GB2312" w:hAnsi="宋体"/>
          <w:sz w:val="30"/>
          <w:szCs w:val="30"/>
        </w:rPr>
        <w:t xml:space="preserve">The </w:t>
      </w:r>
      <w:r>
        <w:rPr>
          <w:rFonts w:ascii="仿宋_GB2312" w:eastAsia="仿宋_GB2312" w:hAnsi="宋体"/>
          <w:sz w:val="30"/>
          <w:szCs w:val="30"/>
        </w:rPr>
        <w:lastRenderedPageBreak/>
        <w:t>Library Association,1990.</w:t>
      </w:r>
    </w:p>
    <w:p w14:paraId="441AFF7C" w14:textId="77777777"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[10]</w:t>
      </w:r>
      <w:r>
        <w:rPr>
          <w:rFonts w:ascii="仿宋_GB2312" w:eastAsia="仿宋_GB2312" w:hAnsi="宋体"/>
          <w:sz w:val="30"/>
          <w:szCs w:val="30"/>
        </w:rPr>
        <w:t xml:space="preserve"> PEEBLES P Z,Jr.</w:t>
      </w:r>
      <w:r>
        <w:rPr>
          <w:rFonts w:ascii="仿宋_GB2312" w:eastAsia="仿宋_GB2312" w:hAnsi="宋体" w:hint="eastAsia"/>
          <w:sz w:val="30"/>
          <w:szCs w:val="30"/>
        </w:rPr>
        <w:t xml:space="preserve"> </w:t>
      </w:r>
      <w:r>
        <w:rPr>
          <w:rFonts w:ascii="仿宋_GB2312" w:eastAsia="仿宋_GB2312" w:hAnsi="宋体"/>
          <w:sz w:val="30"/>
          <w:szCs w:val="30"/>
        </w:rPr>
        <w:t>Probability,random variable,and random signal principles</w:t>
      </w:r>
      <w:r>
        <w:rPr>
          <w:rFonts w:ascii="仿宋_GB2312" w:eastAsia="仿宋_GB2312" w:hAnsi="宋体" w:hint="eastAsia"/>
          <w:sz w:val="30"/>
          <w:szCs w:val="30"/>
        </w:rPr>
        <w:t>[M]</w:t>
      </w:r>
      <w:r>
        <w:rPr>
          <w:rFonts w:ascii="仿宋_GB2312" w:eastAsia="仿宋_GB2312" w:hAnsi="宋体"/>
          <w:sz w:val="30"/>
          <w:szCs w:val="30"/>
        </w:rPr>
        <w:t>.4th ed.</w:t>
      </w:r>
      <w:r>
        <w:rPr>
          <w:rFonts w:ascii="仿宋_GB2312" w:eastAsia="仿宋_GB2312" w:hAnsi="宋体" w:hint="eastAsia"/>
          <w:sz w:val="30"/>
          <w:szCs w:val="30"/>
        </w:rPr>
        <w:t xml:space="preserve"> </w:t>
      </w:r>
      <w:r>
        <w:rPr>
          <w:rFonts w:ascii="仿宋_GB2312" w:eastAsia="仿宋_GB2312" w:hAnsi="宋体"/>
          <w:sz w:val="30"/>
          <w:szCs w:val="30"/>
        </w:rPr>
        <w:t>New York</w:t>
      </w:r>
      <w:r>
        <w:rPr>
          <w:rFonts w:ascii="仿宋_GB2312" w:eastAsia="仿宋_GB2312" w:hAnsi="宋体" w:hint="eastAsia"/>
          <w:sz w:val="30"/>
          <w:szCs w:val="30"/>
        </w:rPr>
        <w:t>：</w:t>
      </w:r>
      <w:r>
        <w:rPr>
          <w:rFonts w:ascii="仿宋_GB2312" w:eastAsia="仿宋_GB2312" w:hAnsi="宋体"/>
          <w:sz w:val="30"/>
          <w:szCs w:val="30"/>
        </w:rPr>
        <w:t>McGraw Hill,2001.</w:t>
      </w:r>
    </w:p>
    <w:p w14:paraId="5AC8072B" w14:textId="77777777" w:rsidR="009A7F3F" w:rsidRDefault="009A7F3F" w:rsidP="009A7F3F">
      <w:pPr>
        <w:numPr>
          <w:ilvl w:val="0"/>
          <w:numId w:val="1"/>
        </w:numPr>
        <w:spacing w:line="480" w:lineRule="exact"/>
        <w:rPr>
          <w:rFonts w:ascii="仿宋_GB2312" w:eastAsia="仿宋_GB2312" w:hAnsi="宋体"/>
          <w:sz w:val="30"/>
          <w:szCs w:val="30"/>
        </w:rPr>
      </w:pPr>
      <w:r>
        <w:rPr>
          <w:rFonts w:ascii="仿宋_GB2312" w:eastAsia="仿宋_GB2312" w:hAnsi="宋体" w:hint="eastAsia"/>
          <w:sz w:val="30"/>
          <w:szCs w:val="30"/>
        </w:rPr>
        <w:t>专著中的析出文献</w:t>
      </w:r>
    </w:p>
    <w:p w14:paraId="46C7F5A1" w14:textId="77777777" w:rsidR="009A7F3F" w:rsidRDefault="009A7F3F" w:rsidP="009A7F3F">
      <w:pPr>
        <w:spacing w:line="480" w:lineRule="exact"/>
        <w:ind w:firstLine="420"/>
        <w:rPr>
          <w:rFonts w:ascii="仿宋_GB2312" w:eastAsia="仿宋_GB2312" w:hAnsi="宋体"/>
          <w:sz w:val="30"/>
          <w:szCs w:val="30"/>
        </w:rPr>
      </w:pPr>
      <w:r>
        <w:rPr>
          <w:rFonts w:ascii="仿宋_GB2312" w:eastAsia="仿宋_GB2312" w:hAnsi="宋体" w:hint="eastAsia"/>
          <w:sz w:val="30"/>
          <w:szCs w:val="30"/>
        </w:rPr>
        <w:t>析出文献主要责任者</w:t>
      </w:r>
      <w:r>
        <w:rPr>
          <w:rFonts w:ascii="仿宋_GB2312" w:eastAsia="仿宋_GB2312" w:hAnsi="宋体"/>
          <w:sz w:val="30"/>
          <w:szCs w:val="30"/>
        </w:rPr>
        <w:t>.</w:t>
      </w:r>
      <w:r>
        <w:rPr>
          <w:rFonts w:ascii="仿宋_GB2312" w:eastAsia="仿宋_GB2312" w:hAnsi="宋体" w:hint="eastAsia"/>
          <w:sz w:val="30"/>
          <w:szCs w:val="30"/>
        </w:rPr>
        <w:t>析出文献题名[文献类型标志]</w:t>
      </w:r>
      <w:r>
        <w:rPr>
          <w:rFonts w:ascii="仿宋_GB2312" w:eastAsia="仿宋_GB2312" w:hAnsi="宋体"/>
          <w:sz w:val="30"/>
          <w:szCs w:val="30"/>
        </w:rPr>
        <w:t>.</w:t>
      </w:r>
      <w:r>
        <w:rPr>
          <w:rFonts w:ascii="仿宋_GB2312" w:eastAsia="仿宋_GB2312" w:hAnsi="宋体" w:hint="eastAsia"/>
          <w:sz w:val="30"/>
          <w:szCs w:val="30"/>
        </w:rPr>
        <w:t>析出文献其他责任者</w:t>
      </w:r>
      <w:r>
        <w:rPr>
          <w:rFonts w:ascii="仿宋_GB2312" w:eastAsia="仿宋_GB2312" w:hAnsi="宋体"/>
          <w:sz w:val="30"/>
          <w:szCs w:val="30"/>
        </w:rPr>
        <w:t>∥</w:t>
      </w:r>
      <w:r>
        <w:rPr>
          <w:rFonts w:ascii="仿宋_GB2312" w:eastAsia="仿宋_GB2312" w:hAnsi="宋体" w:hint="eastAsia"/>
          <w:sz w:val="30"/>
          <w:szCs w:val="30"/>
        </w:rPr>
        <w:t>专著主要责任者</w:t>
      </w:r>
      <w:r>
        <w:rPr>
          <w:rFonts w:ascii="仿宋_GB2312" w:eastAsia="仿宋_GB2312" w:hAnsi="宋体"/>
          <w:sz w:val="30"/>
          <w:szCs w:val="30"/>
        </w:rPr>
        <w:t>.</w:t>
      </w:r>
      <w:r>
        <w:rPr>
          <w:rFonts w:ascii="仿宋_GB2312" w:eastAsia="仿宋_GB2312" w:hAnsi="宋体" w:hint="eastAsia"/>
          <w:sz w:val="30"/>
          <w:szCs w:val="30"/>
        </w:rPr>
        <w:t>专著题名：其他题名信息</w:t>
      </w:r>
      <w:r>
        <w:rPr>
          <w:rFonts w:ascii="仿宋_GB2312" w:eastAsia="仿宋_GB2312" w:hAnsi="宋体"/>
          <w:sz w:val="30"/>
          <w:szCs w:val="30"/>
        </w:rPr>
        <w:t>.</w:t>
      </w:r>
      <w:r>
        <w:rPr>
          <w:rFonts w:ascii="仿宋_GB2312" w:eastAsia="仿宋_GB2312" w:hAnsi="宋体" w:hint="eastAsia"/>
          <w:sz w:val="30"/>
          <w:szCs w:val="30"/>
        </w:rPr>
        <w:t>版本项</w:t>
      </w:r>
      <w:r>
        <w:rPr>
          <w:rFonts w:ascii="仿宋_GB2312" w:eastAsia="仿宋_GB2312" w:hAnsi="宋体"/>
          <w:sz w:val="30"/>
          <w:szCs w:val="30"/>
        </w:rPr>
        <w:t>.</w:t>
      </w:r>
      <w:r>
        <w:rPr>
          <w:rFonts w:ascii="仿宋_GB2312" w:eastAsia="仿宋_GB2312" w:hAnsi="宋体" w:hint="eastAsia"/>
          <w:sz w:val="30"/>
          <w:szCs w:val="30"/>
        </w:rPr>
        <w:t>出版地：出版者，出版年：析出文献的页码[引用日期]</w:t>
      </w:r>
      <w:r>
        <w:rPr>
          <w:rFonts w:ascii="仿宋_GB2312" w:eastAsia="仿宋_GB2312" w:hAnsi="宋体"/>
          <w:sz w:val="30"/>
          <w:szCs w:val="30"/>
        </w:rPr>
        <w:t>.</w:t>
      </w:r>
      <w:r>
        <w:rPr>
          <w:rFonts w:ascii="仿宋_GB2312" w:eastAsia="仿宋_GB2312" w:hAnsi="宋体" w:hint="eastAsia"/>
          <w:sz w:val="30"/>
          <w:szCs w:val="30"/>
        </w:rPr>
        <w:t>获取和访问路径</w:t>
      </w:r>
      <w:r>
        <w:rPr>
          <w:rFonts w:ascii="仿宋_GB2312" w:eastAsia="仿宋_GB2312" w:hAnsi="宋体"/>
          <w:sz w:val="30"/>
          <w:szCs w:val="30"/>
        </w:rPr>
        <w:t>.</w:t>
      </w:r>
    </w:p>
    <w:p w14:paraId="002708BE" w14:textId="77777777" w:rsidR="009A7F3F" w:rsidRDefault="009A7F3F" w:rsidP="009A7F3F">
      <w:pPr>
        <w:spacing w:line="480" w:lineRule="exact"/>
        <w:ind w:firstLine="420"/>
        <w:rPr>
          <w:rFonts w:ascii="仿宋_GB2312" w:eastAsia="仿宋_GB2312" w:hAnsi="宋体"/>
          <w:sz w:val="30"/>
          <w:szCs w:val="30"/>
        </w:rPr>
      </w:pPr>
      <w:r>
        <w:rPr>
          <w:rFonts w:ascii="仿宋_GB2312" w:eastAsia="仿宋_GB2312" w:hAnsi="宋体" w:hint="eastAsia"/>
          <w:sz w:val="30"/>
          <w:szCs w:val="30"/>
        </w:rPr>
        <w:t>示例：</w:t>
      </w:r>
    </w:p>
    <w:p w14:paraId="74872009" w14:textId="77777777" w:rsidR="009A7F3F" w:rsidRDefault="009A7F3F" w:rsidP="009A7F3F">
      <w:pPr>
        <w:spacing w:line="480" w:lineRule="exact"/>
        <w:ind w:leftChars="64" w:left="134" w:firstLineChars="200" w:firstLine="600"/>
        <w:rPr>
          <w:rFonts w:ascii="仿宋_GB2312" w:eastAsia="仿宋_GB2312" w:hAnsi="宋体"/>
          <w:sz w:val="30"/>
          <w:szCs w:val="30"/>
        </w:rPr>
      </w:pPr>
      <w:r>
        <w:rPr>
          <w:rFonts w:ascii="仿宋_GB2312" w:eastAsia="仿宋_GB2312" w:hAnsi="宋体" w:hint="eastAsia"/>
          <w:sz w:val="30"/>
          <w:szCs w:val="30"/>
        </w:rPr>
        <w:t>[1] 程根伟</w:t>
      </w:r>
      <w:r>
        <w:rPr>
          <w:rFonts w:ascii="仿宋_GB2312" w:eastAsia="仿宋_GB2312" w:hAnsi="宋体"/>
          <w:sz w:val="30"/>
          <w:szCs w:val="30"/>
        </w:rPr>
        <w:t>.</w:t>
      </w:r>
      <w:r>
        <w:rPr>
          <w:rFonts w:ascii="仿宋_GB2312" w:eastAsia="仿宋_GB2312" w:hAnsi="宋体" w:hint="eastAsia"/>
          <w:sz w:val="30"/>
          <w:szCs w:val="30"/>
        </w:rPr>
        <w:t>1998年长江洪水的成因与减灾对策[M]</w:t>
      </w:r>
      <w:r>
        <w:rPr>
          <w:rFonts w:ascii="仿宋_GB2312" w:eastAsia="仿宋_GB2312" w:hAnsi="宋体"/>
          <w:sz w:val="30"/>
          <w:szCs w:val="30"/>
        </w:rPr>
        <w:t>∥</w:t>
      </w:r>
      <w:r>
        <w:rPr>
          <w:rFonts w:ascii="仿宋_GB2312" w:eastAsia="仿宋_GB2312" w:hAnsi="宋体" w:hint="eastAsia"/>
          <w:sz w:val="30"/>
          <w:szCs w:val="30"/>
        </w:rPr>
        <w:t>许厚泽，赵其国</w:t>
      </w:r>
      <w:r>
        <w:rPr>
          <w:rFonts w:ascii="仿宋_GB2312" w:eastAsia="仿宋_GB2312" w:hAnsi="宋体"/>
          <w:sz w:val="30"/>
          <w:szCs w:val="30"/>
        </w:rPr>
        <w:t>.</w:t>
      </w:r>
      <w:r>
        <w:rPr>
          <w:rFonts w:ascii="仿宋_GB2312" w:eastAsia="仿宋_GB2312" w:hAnsi="宋体" w:hint="eastAsia"/>
          <w:sz w:val="30"/>
          <w:szCs w:val="30"/>
        </w:rPr>
        <w:t>长江流域洪涝灾害与技术对策</w:t>
      </w:r>
      <w:r>
        <w:rPr>
          <w:rFonts w:ascii="仿宋_GB2312" w:eastAsia="仿宋_GB2312" w:hAnsi="宋体"/>
          <w:sz w:val="30"/>
          <w:szCs w:val="30"/>
        </w:rPr>
        <w:t>.</w:t>
      </w:r>
      <w:r>
        <w:rPr>
          <w:rFonts w:ascii="仿宋_GB2312" w:eastAsia="仿宋_GB2312" w:hAnsi="宋体" w:hint="eastAsia"/>
          <w:sz w:val="30"/>
          <w:szCs w:val="30"/>
        </w:rPr>
        <w:t>北京：科学出版社，1999：32-36</w:t>
      </w:r>
      <w:r>
        <w:rPr>
          <w:rFonts w:ascii="仿宋_GB2312" w:eastAsia="仿宋_GB2312" w:hAnsi="宋体"/>
          <w:sz w:val="30"/>
          <w:szCs w:val="30"/>
        </w:rPr>
        <w:t>.</w:t>
      </w:r>
    </w:p>
    <w:p w14:paraId="7EE4F041" w14:textId="77777777" w:rsidR="009A7F3F" w:rsidRDefault="009A7F3F" w:rsidP="009A7F3F">
      <w:pPr>
        <w:spacing w:line="480" w:lineRule="exact"/>
        <w:ind w:leftChars="55" w:left="115" w:firstLineChars="200" w:firstLine="600"/>
        <w:rPr>
          <w:rFonts w:ascii="仿宋_GB2312" w:eastAsia="仿宋_GB2312" w:hAnsi="宋体"/>
          <w:sz w:val="30"/>
          <w:szCs w:val="30"/>
        </w:rPr>
      </w:pPr>
      <w:r>
        <w:rPr>
          <w:rFonts w:ascii="仿宋_GB2312" w:eastAsia="仿宋_GB2312" w:hAnsi="宋体" w:hint="eastAsia"/>
          <w:sz w:val="30"/>
          <w:szCs w:val="30"/>
        </w:rPr>
        <w:t>[2] 钟文发</w:t>
      </w:r>
      <w:r>
        <w:rPr>
          <w:rFonts w:ascii="仿宋_GB2312" w:eastAsia="仿宋_GB2312" w:hAnsi="宋体"/>
          <w:sz w:val="30"/>
          <w:szCs w:val="30"/>
        </w:rPr>
        <w:t>.</w:t>
      </w:r>
      <w:r>
        <w:rPr>
          <w:rFonts w:ascii="仿宋_GB2312" w:eastAsia="仿宋_GB2312" w:hAnsi="宋体" w:hint="eastAsia"/>
          <w:sz w:val="30"/>
          <w:szCs w:val="30"/>
        </w:rPr>
        <w:t>非线性规划在可燃毒物配置中的应用[C]</w:t>
      </w:r>
      <w:r>
        <w:rPr>
          <w:rFonts w:ascii="仿宋_GB2312" w:eastAsia="仿宋_GB2312" w:hAnsi="宋体"/>
          <w:sz w:val="30"/>
          <w:szCs w:val="30"/>
        </w:rPr>
        <w:t>∥</w:t>
      </w:r>
      <w:r>
        <w:rPr>
          <w:rFonts w:ascii="仿宋_GB2312" w:eastAsia="仿宋_GB2312" w:hAnsi="宋体" w:hint="eastAsia"/>
          <w:sz w:val="30"/>
          <w:szCs w:val="30"/>
        </w:rPr>
        <w:t>赵玮</w:t>
      </w:r>
      <w:r>
        <w:rPr>
          <w:rFonts w:ascii="仿宋_GB2312" w:eastAsia="仿宋_GB2312" w:hAnsi="宋体"/>
          <w:sz w:val="30"/>
          <w:szCs w:val="30"/>
        </w:rPr>
        <w:t>.</w:t>
      </w:r>
      <w:r>
        <w:rPr>
          <w:rFonts w:ascii="仿宋_GB2312" w:eastAsia="仿宋_GB2312" w:hAnsi="宋体" w:hint="eastAsia"/>
          <w:sz w:val="30"/>
          <w:szCs w:val="30"/>
        </w:rPr>
        <w:t>运筹学的理论与应用：中国运筹学会第四届大会论文集</w:t>
      </w:r>
      <w:r>
        <w:rPr>
          <w:rFonts w:ascii="仿宋_GB2312" w:eastAsia="仿宋_GB2312" w:hAnsi="宋体"/>
          <w:sz w:val="30"/>
          <w:szCs w:val="30"/>
        </w:rPr>
        <w:t>.</w:t>
      </w:r>
      <w:r>
        <w:rPr>
          <w:rFonts w:ascii="仿宋_GB2312" w:eastAsia="仿宋_GB2312" w:hAnsi="宋体" w:hint="eastAsia"/>
          <w:sz w:val="30"/>
          <w:szCs w:val="30"/>
        </w:rPr>
        <w:t>西安：西安电子科技大学出版社，1996：468-471</w:t>
      </w:r>
      <w:r>
        <w:rPr>
          <w:rFonts w:ascii="仿宋_GB2312" w:eastAsia="仿宋_GB2312" w:hAnsi="宋体"/>
          <w:sz w:val="30"/>
          <w:szCs w:val="30"/>
        </w:rPr>
        <w:t>.</w:t>
      </w:r>
    </w:p>
    <w:p w14:paraId="2FE1E6EC" w14:textId="77777777" w:rsidR="009A7F3F" w:rsidRPr="00A26C91" w:rsidRDefault="009A7F3F" w:rsidP="00A26C91">
      <w:pPr>
        <w:spacing w:line="480" w:lineRule="exact"/>
        <w:ind w:firstLineChars="200" w:firstLine="600"/>
        <w:rPr>
          <w:b/>
          <w:sz w:val="24"/>
        </w:rPr>
      </w:pPr>
      <w:r>
        <w:rPr>
          <w:rFonts w:ascii="仿宋_GB2312" w:eastAsia="仿宋_GB2312" w:hAnsi="宋体" w:hint="eastAsia"/>
          <w:sz w:val="30"/>
          <w:szCs w:val="30"/>
        </w:rPr>
        <w:t xml:space="preserve">[3] </w:t>
      </w:r>
      <w:r>
        <w:rPr>
          <w:rFonts w:ascii="仿宋_GB2312" w:eastAsia="仿宋_GB2312" w:hAnsi="宋体"/>
          <w:sz w:val="30"/>
          <w:szCs w:val="30"/>
        </w:rPr>
        <w:t>WEINSTEIN L, SWERTZ M N. Pathogenic properties of invading micrcorganism</w:t>
      </w:r>
      <w:r>
        <w:rPr>
          <w:rFonts w:ascii="仿宋_GB2312" w:eastAsia="仿宋_GB2312" w:hAnsi="宋体" w:hint="eastAsia"/>
          <w:sz w:val="30"/>
          <w:szCs w:val="30"/>
        </w:rPr>
        <w:t>[</w:t>
      </w:r>
      <w:r>
        <w:rPr>
          <w:rFonts w:ascii="仿宋_GB2312" w:eastAsia="仿宋_GB2312" w:hAnsi="宋体"/>
          <w:sz w:val="30"/>
          <w:szCs w:val="30"/>
        </w:rPr>
        <w:t>M</w:t>
      </w:r>
      <w:r>
        <w:rPr>
          <w:rFonts w:ascii="仿宋_GB2312" w:eastAsia="仿宋_GB2312" w:hAnsi="宋体" w:hint="eastAsia"/>
          <w:sz w:val="30"/>
          <w:szCs w:val="30"/>
        </w:rPr>
        <w:t>]</w:t>
      </w:r>
      <w:r>
        <w:rPr>
          <w:rFonts w:ascii="仿宋_GB2312" w:eastAsia="仿宋_GB2312" w:hAnsi="宋体"/>
          <w:sz w:val="30"/>
          <w:szCs w:val="30"/>
        </w:rPr>
        <w:t>∥</w:t>
      </w:r>
      <w:r>
        <w:rPr>
          <w:rFonts w:ascii="仿宋_GB2312" w:eastAsia="仿宋_GB2312" w:hAnsi="宋体"/>
          <w:sz w:val="30"/>
          <w:szCs w:val="30"/>
        </w:rPr>
        <w:t xml:space="preserve">SODEMAN </w:t>
      </w:r>
      <w:r>
        <w:rPr>
          <w:rFonts w:ascii="仿宋_GB2312" w:eastAsia="仿宋_GB2312" w:hAnsi="宋体" w:hint="eastAsia"/>
          <w:sz w:val="30"/>
          <w:szCs w:val="30"/>
        </w:rPr>
        <w:t xml:space="preserve"> </w:t>
      </w:r>
      <w:r>
        <w:rPr>
          <w:rFonts w:ascii="仿宋_GB2312" w:eastAsia="仿宋_GB2312" w:hAnsi="宋体"/>
          <w:sz w:val="30"/>
          <w:szCs w:val="30"/>
        </w:rPr>
        <w:t>W A,Jr., SODEMAN W A. Pathologic physiology</w:t>
      </w:r>
      <w:r>
        <w:rPr>
          <w:rFonts w:ascii="仿宋_GB2312" w:eastAsia="仿宋_GB2312" w:hAnsi="宋体" w:hint="eastAsia"/>
          <w:sz w:val="30"/>
          <w:szCs w:val="30"/>
        </w:rPr>
        <w:t>：</w:t>
      </w:r>
      <w:r>
        <w:rPr>
          <w:rFonts w:ascii="仿宋_GB2312" w:eastAsia="仿宋_GB2312" w:hAnsi="宋体"/>
          <w:sz w:val="30"/>
          <w:szCs w:val="30"/>
        </w:rPr>
        <w:t>mechanisms of disease. Philadelphia</w:t>
      </w:r>
      <w:r>
        <w:rPr>
          <w:rFonts w:ascii="仿宋_GB2312" w:eastAsia="仿宋_GB2312" w:hAnsi="宋体" w:hint="eastAsia"/>
          <w:sz w:val="30"/>
          <w:szCs w:val="30"/>
        </w:rPr>
        <w:t>：</w:t>
      </w:r>
      <w:r>
        <w:rPr>
          <w:rFonts w:ascii="仿宋_GB2312" w:eastAsia="仿宋_GB2312" w:hAnsi="宋体"/>
          <w:sz w:val="30"/>
          <w:szCs w:val="30"/>
        </w:rPr>
        <w:t>Saunders,1974</w:t>
      </w:r>
      <w:r>
        <w:rPr>
          <w:rFonts w:ascii="仿宋_GB2312" w:eastAsia="仿宋_GB2312" w:hAnsi="宋体" w:hint="eastAsia"/>
          <w:sz w:val="30"/>
          <w:szCs w:val="30"/>
        </w:rPr>
        <w:t>：745-772</w:t>
      </w:r>
      <w:r>
        <w:rPr>
          <w:rFonts w:ascii="仿宋_GB2312" w:eastAsia="仿宋_GB2312" w:hAnsi="宋体"/>
          <w:sz w:val="30"/>
          <w:szCs w:val="30"/>
        </w:rPr>
        <w:t>.</w:t>
      </w:r>
      <w:bookmarkEnd w:id="0"/>
      <w:bookmarkEnd w:id="1"/>
      <w:r>
        <w:rPr>
          <w:rFonts w:ascii="仿宋_GB2312" w:eastAsia="仿宋_GB2312" w:hAnsi="宋体" w:hint="eastAsia"/>
          <w:sz w:val="30"/>
          <w:szCs w:val="30"/>
        </w:rPr>
        <w:t xml:space="preserve">                                       </w:t>
      </w:r>
      <w:r>
        <w:rPr>
          <w:rFonts w:hint="eastAsia"/>
          <w:b/>
          <w:sz w:val="24"/>
        </w:rPr>
        <w:t xml:space="preserve">                                                                                                                                                                                                                                                                                                                                                                                                                                                    </w:t>
      </w:r>
    </w:p>
    <w:sectPr w:rsidR="009A7F3F" w:rsidRPr="00A26C91" w:rsidSect="007367C1">
      <w:pgSz w:w="11906" w:h="16838"/>
      <w:pgMar w:top="1304" w:right="1588" w:bottom="136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5D77E" w14:textId="77777777" w:rsidR="000646AC" w:rsidRDefault="000646AC" w:rsidP="008B4EC7">
      <w:r>
        <w:separator/>
      </w:r>
    </w:p>
  </w:endnote>
  <w:endnote w:type="continuationSeparator" w:id="0">
    <w:p w14:paraId="1186233D" w14:textId="77777777" w:rsidR="000646AC" w:rsidRDefault="000646AC" w:rsidP="008B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2357" w14:textId="77777777" w:rsidR="000646AC" w:rsidRDefault="000646AC" w:rsidP="008B4EC7">
      <w:r>
        <w:separator/>
      </w:r>
    </w:p>
  </w:footnote>
  <w:footnote w:type="continuationSeparator" w:id="0">
    <w:p w14:paraId="3A7E8117" w14:textId="77777777" w:rsidR="000646AC" w:rsidRDefault="000646AC" w:rsidP="008B4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95473"/>
    <w:multiLevelType w:val="hybridMultilevel"/>
    <w:tmpl w:val="9CD65BD0"/>
    <w:lvl w:ilvl="0" w:tplc="03345C9E">
      <w:start w:val="5"/>
      <w:numFmt w:val="decimal"/>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16cid:durableId="371996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5EE"/>
    <w:rsid w:val="000202E5"/>
    <w:rsid w:val="000646AC"/>
    <w:rsid w:val="000D4704"/>
    <w:rsid w:val="00106816"/>
    <w:rsid w:val="001745EE"/>
    <w:rsid w:val="001D2C2B"/>
    <w:rsid w:val="00254F5C"/>
    <w:rsid w:val="00277E53"/>
    <w:rsid w:val="00281938"/>
    <w:rsid w:val="002A2BE5"/>
    <w:rsid w:val="002B2AFB"/>
    <w:rsid w:val="002D1BAF"/>
    <w:rsid w:val="002D244C"/>
    <w:rsid w:val="00312B05"/>
    <w:rsid w:val="00324E63"/>
    <w:rsid w:val="003374FA"/>
    <w:rsid w:val="003D0164"/>
    <w:rsid w:val="00430511"/>
    <w:rsid w:val="00434FAF"/>
    <w:rsid w:val="00440A21"/>
    <w:rsid w:val="00474BB4"/>
    <w:rsid w:val="004F167B"/>
    <w:rsid w:val="00520C90"/>
    <w:rsid w:val="00591CA6"/>
    <w:rsid w:val="005C591A"/>
    <w:rsid w:val="005F5B11"/>
    <w:rsid w:val="00622D8F"/>
    <w:rsid w:val="006E3D18"/>
    <w:rsid w:val="0070666E"/>
    <w:rsid w:val="007367C1"/>
    <w:rsid w:val="0074228C"/>
    <w:rsid w:val="007538F5"/>
    <w:rsid w:val="00774842"/>
    <w:rsid w:val="008033DD"/>
    <w:rsid w:val="0088343F"/>
    <w:rsid w:val="00897D32"/>
    <w:rsid w:val="008B4EC7"/>
    <w:rsid w:val="008E209B"/>
    <w:rsid w:val="009409CE"/>
    <w:rsid w:val="009811E9"/>
    <w:rsid w:val="009858F1"/>
    <w:rsid w:val="009918A1"/>
    <w:rsid w:val="00991E60"/>
    <w:rsid w:val="0099579F"/>
    <w:rsid w:val="009A7F3F"/>
    <w:rsid w:val="009B1D7C"/>
    <w:rsid w:val="009C3A74"/>
    <w:rsid w:val="00A26C91"/>
    <w:rsid w:val="00A41927"/>
    <w:rsid w:val="00B250CE"/>
    <w:rsid w:val="00B70C81"/>
    <w:rsid w:val="00B94A54"/>
    <w:rsid w:val="00BC784B"/>
    <w:rsid w:val="00BE7D72"/>
    <w:rsid w:val="00C14294"/>
    <w:rsid w:val="00C37468"/>
    <w:rsid w:val="00C54B2F"/>
    <w:rsid w:val="00C61C0C"/>
    <w:rsid w:val="00C65E2D"/>
    <w:rsid w:val="00D179E6"/>
    <w:rsid w:val="00D46C14"/>
    <w:rsid w:val="00D64191"/>
    <w:rsid w:val="00D6776E"/>
    <w:rsid w:val="00D7203B"/>
    <w:rsid w:val="00D80EAB"/>
    <w:rsid w:val="00DA4E40"/>
    <w:rsid w:val="00E35F52"/>
    <w:rsid w:val="00E939C7"/>
    <w:rsid w:val="00EC02DD"/>
    <w:rsid w:val="00ED557A"/>
    <w:rsid w:val="00F35279"/>
    <w:rsid w:val="00F63DFB"/>
    <w:rsid w:val="00F87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2"/>
    </o:shapelayout>
  </w:shapeDefaults>
  <w:decimalSymbol w:val="."/>
  <w:listSeparator w:val=","/>
  <w14:docId w14:val="0D297841"/>
  <w15:docId w15:val="{0D316942-72A8-4B5D-A730-851D0E9C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F3F"/>
    <w:rPr>
      <w:color w:val="0000FF" w:themeColor="hyperlink"/>
      <w:u w:val="single"/>
    </w:rPr>
  </w:style>
  <w:style w:type="paragraph" w:styleId="a4">
    <w:name w:val="Balloon Text"/>
    <w:basedOn w:val="a"/>
    <w:link w:val="a5"/>
    <w:uiPriority w:val="99"/>
    <w:semiHidden/>
    <w:unhideWhenUsed/>
    <w:rsid w:val="009A7F3F"/>
    <w:rPr>
      <w:sz w:val="18"/>
      <w:szCs w:val="18"/>
    </w:rPr>
  </w:style>
  <w:style w:type="character" w:customStyle="1" w:styleId="a5">
    <w:name w:val="批注框文本 字符"/>
    <w:basedOn w:val="a0"/>
    <w:link w:val="a4"/>
    <w:uiPriority w:val="99"/>
    <w:semiHidden/>
    <w:rsid w:val="009A7F3F"/>
    <w:rPr>
      <w:sz w:val="18"/>
      <w:szCs w:val="18"/>
    </w:rPr>
  </w:style>
  <w:style w:type="paragraph" w:customStyle="1" w:styleId="CharChar1">
    <w:name w:val="Char Char1"/>
    <w:basedOn w:val="a"/>
    <w:rsid w:val="00D6776E"/>
    <w:pPr>
      <w:widowControl/>
      <w:spacing w:after="160" w:line="240" w:lineRule="exact"/>
      <w:jc w:val="left"/>
    </w:pPr>
    <w:rPr>
      <w:rFonts w:ascii="Verdana" w:eastAsia="MS Mincho" w:hAnsi="Verdana" w:cs="Verdana"/>
      <w:kern w:val="0"/>
      <w:sz w:val="20"/>
      <w:szCs w:val="20"/>
      <w:lang w:eastAsia="en-US"/>
    </w:rPr>
  </w:style>
  <w:style w:type="paragraph" w:styleId="a6">
    <w:name w:val="header"/>
    <w:basedOn w:val="a"/>
    <w:link w:val="a7"/>
    <w:uiPriority w:val="99"/>
    <w:unhideWhenUsed/>
    <w:rsid w:val="008B4EC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B4EC7"/>
    <w:rPr>
      <w:sz w:val="18"/>
      <w:szCs w:val="18"/>
    </w:rPr>
  </w:style>
  <w:style w:type="paragraph" w:styleId="a8">
    <w:name w:val="footer"/>
    <w:basedOn w:val="a"/>
    <w:link w:val="a9"/>
    <w:uiPriority w:val="99"/>
    <w:unhideWhenUsed/>
    <w:rsid w:val="008B4EC7"/>
    <w:pPr>
      <w:tabs>
        <w:tab w:val="center" w:pos="4153"/>
        <w:tab w:val="right" w:pos="8306"/>
      </w:tabs>
      <w:snapToGrid w:val="0"/>
      <w:jc w:val="left"/>
    </w:pPr>
    <w:rPr>
      <w:sz w:val="18"/>
      <w:szCs w:val="18"/>
    </w:rPr>
  </w:style>
  <w:style w:type="character" w:customStyle="1" w:styleId="a9">
    <w:name w:val="页脚 字符"/>
    <w:basedOn w:val="a0"/>
    <w:link w:val="a8"/>
    <w:uiPriority w:val="99"/>
    <w:rsid w:val="008B4EC7"/>
    <w:rPr>
      <w:sz w:val="18"/>
      <w:szCs w:val="18"/>
    </w:rPr>
  </w:style>
  <w:style w:type="character" w:styleId="aa">
    <w:name w:val="Unresolved Mention"/>
    <w:basedOn w:val="a0"/>
    <w:uiPriority w:val="99"/>
    <w:semiHidden/>
    <w:unhideWhenUsed/>
    <w:rsid w:val="00591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3396">
      <w:bodyDiv w:val="1"/>
      <w:marLeft w:val="0"/>
      <w:marRight w:val="0"/>
      <w:marTop w:val="0"/>
      <w:marBottom w:val="0"/>
      <w:divBdr>
        <w:top w:val="none" w:sz="0" w:space="0" w:color="auto"/>
        <w:left w:val="none" w:sz="0" w:space="0" w:color="auto"/>
        <w:bottom w:val="none" w:sz="0" w:space="0" w:color="auto"/>
        <w:right w:val="none" w:sz="0" w:space="0" w:color="auto"/>
      </w:divBdr>
    </w:div>
    <w:div w:id="8055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a.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B44A-8060-4BFE-840B-03ED2D89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1733</Words>
  <Characters>9880</Characters>
  <Application>Microsoft Office Word</Application>
  <DocSecurity>0</DocSecurity>
  <Lines>82</Lines>
  <Paragraphs>23</Paragraphs>
  <ScaleCrop>false</ScaleCrop>
  <Company>深度优化纯净版</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深度优化纯净版</dc:creator>
  <cp:lastModifiedBy>wei guo</cp:lastModifiedBy>
  <cp:revision>9</cp:revision>
  <dcterms:created xsi:type="dcterms:W3CDTF">2023-09-12T01:34:00Z</dcterms:created>
  <dcterms:modified xsi:type="dcterms:W3CDTF">2023-09-12T02:06:00Z</dcterms:modified>
</cp:coreProperties>
</file>