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24C41" w14:textId="0534E7FB" w:rsidR="00EC41AB" w:rsidRDefault="00000000">
      <w:pPr>
        <w:adjustRightInd w:val="0"/>
        <w:snapToGrid w:val="0"/>
        <w:spacing w:line="300" w:lineRule="auto"/>
        <w:rPr>
          <w:rFonts w:ascii="仿宋" w:eastAsia="仿宋" w:hAnsi="仿宋" w:cs="宋体"/>
          <w:kern w:val="0"/>
          <w:sz w:val="28"/>
          <w:szCs w:val="28"/>
        </w:rPr>
      </w:pPr>
      <w:r>
        <w:rPr>
          <w:rFonts w:ascii="仿宋" w:eastAsia="仿宋" w:hAnsi="仿宋" w:cs="宋体" w:hint="eastAsia"/>
          <w:kern w:val="0"/>
          <w:sz w:val="28"/>
          <w:szCs w:val="28"/>
        </w:rPr>
        <w:t>附表</w:t>
      </w:r>
      <w:r w:rsidR="000F49B7">
        <w:rPr>
          <w:rFonts w:ascii="仿宋" w:eastAsia="仿宋" w:hAnsi="仿宋" w:cs="宋体" w:hint="eastAsia"/>
          <w:kern w:val="0"/>
          <w:sz w:val="28"/>
          <w:szCs w:val="28"/>
        </w:rPr>
        <w:t>1</w:t>
      </w:r>
      <w:r>
        <w:rPr>
          <w:rFonts w:ascii="仿宋" w:eastAsia="仿宋" w:hAnsi="仿宋" w:cs="宋体" w:hint="eastAsia"/>
          <w:kern w:val="0"/>
          <w:sz w:val="28"/>
          <w:szCs w:val="28"/>
        </w:rPr>
        <w:t>：</w:t>
      </w:r>
    </w:p>
    <w:p w14:paraId="47B4413D" w14:textId="77777777" w:rsidR="00EC41AB" w:rsidRDefault="00000000">
      <w:pPr>
        <w:adjustRightInd w:val="0"/>
        <w:snapToGrid w:val="0"/>
        <w:spacing w:line="300" w:lineRule="auto"/>
        <w:jc w:val="center"/>
        <w:rPr>
          <w:rFonts w:ascii="仿宋" w:eastAsia="仿宋" w:hAnsi="仿宋"/>
          <w:b/>
          <w:sz w:val="32"/>
        </w:rPr>
      </w:pPr>
      <w:r>
        <w:rPr>
          <w:rFonts w:ascii="仿宋" w:eastAsia="仿宋" w:hAnsi="仿宋" w:hint="eastAsia"/>
          <w:b/>
          <w:sz w:val="32"/>
        </w:rPr>
        <w:t>团体标准项目建议书</w:t>
      </w:r>
    </w:p>
    <w:p w14:paraId="6937A304" w14:textId="77777777" w:rsidR="00EC41AB" w:rsidRDefault="00EC41AB">
      <w:pPr>
        <w:adjustRightInd w:val="0"/>
        <w:snapToGrid w:val="0"/>
        <w:spacing w:line="300" w:lineRule="auto"/>
        <w:rPr>
          <w:rFonts w:ascii="仿宋" w:eastAsia="仿宋" w:hAnsi="仿宋"/>
          <w:sz w:val="18"/>
          <w:szCs w:val="18"/>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010"/>
        <w:gridCol w:w="960"/>
        <w:gridCol w:w="408"/>
        <w:gridCol w:w="444"/>
        <w:gridCol w:w="918"/>
        <w:gridCol w:w="1987"/>
        <w:gridCol w:w="1380"/>
        <w:gridCol w:w="1757"/>
      </w:tblGrid>
      <w:tr w:rsidR="00EC41AB" w14:paraId="606EFEF5" w14:textId="77777777">
        <w:trPr>
          <w:trHeight w:val="728"/>
          <w:jc w:val="center"/>
        </w:trPr>
        <w:tc>
          <w:tcPr>
            <w:tcW w:w="2010" w:type="dxa"/>
            <w:tcBorders>
              <w:top w:val="single" w:sz="4" w:space="0" w:color="auto"/>
              <w:left w:val="single" w:sz="4" w:space="0" w:color="auto"/>
              <w:bottom w:val="single" w:sz="4" w:space="0" w:color="auto"/>
              <w:right w:val="single" w:sz="4" w:space="0" w:color="auto"/>
            </w:tcBorders>
            <w:vAlign w:val="center"/>
          </w:tcPr>
          <w:p w14:paraId="1675B2D6" w14:textId="77777777" w:rsidR="00EC41AB" w:rsidRDefault="00000000">
            <w:pPr>
              <w:pStyle w:val="a5"/>
              <w:pBdr>
                <w:bottom w:val="none" w:sz="0" w:space="0" w:color="auto"/>
              </w:pBdr>
              <w:tabs>
                <w:tab w:val="left" w:pos="420"/>
              </w:tabs>
              <w:adjustRightInd w:val="0"/>
              <w:spacing w:line="300" w:lineRule="auto"/>
              <w:jc w:val="both"/>
              <w:rPr>
                <w:rFonts w:ascii="仿宋" w:eastAsia="仿宋" w:hAnsi="仿宋"/>
                <w:sz w:val="21"/>
                <w:szCs w:val="21"/>
              </w:rPr>
            </w:pPr>
            <w:r>
              <w:rPr>
                <w:rFonts w:ascii="仿宋" w:eastAsia="仿宋" w:hAnsi="仿宋" w:hint="eastAsia"/>
                <w:sz w:val="21"/>
                <w:szCs w:val="21"/>
              </w:rPr>
              <w:t>建议项目名称</w:t>
            </w:r>
          </w:p>
          <w:p w14:paraId="3C5A822D" w14:textId="77777777" w:rsidR="00EC41AB" w:rsidRDefault="00000000">
            <w:pPr>
              <w:adjustRightInd w:val="0"/>
              <w:snapToGrid w:val="0"/>
              <w:spacing w:line="300" w:lineRule="auto"/>
              <w:ind w:hanging="13"/>
              <w:rPr>
                <w:rFonts w:ascii="仿宋" w:eastAsia="仿宋" w:hAnsi="仿宋"/>
                <w:szCs w:val="21"/>
              </w:rPr>
            </w:pPr>
            <w:r>
              <w:rPr>
                <w:rFonts w:ascii="仿宋" w:eastAsia="仿宋" w:hAnsi="仿宋"/>
                <w:szCs w:val="21"/>
              </w:rPr>
              <w:t>(</w:t>
            </w:r>
            <w:r>
              <w:rPr>
                <w:rFonts w:ascii="仿宋" w:eastAsia="仿宋" w:hAnsi="仿宋" w:hint="eastAsia"/>
                <w:szCs w:val="21"/>
              </w:rPr>
              <w:t>中文</w:t>
            </w:r>
            <w:r>
              <w:rPr>
                <w:rFonts w:ascii="仿宋" w:eastAsia="仿宋" w:hAnsi="仿宋"/>
                <w:szCs w:val="21"/>
              </w:rPr>
              <w:t>)</w:t>
            </w:r>
          </w:p>
        </w:tc>
        <w:tc>
          <w:tcPr>
            <w:tcW w:w="2730" w:type="dxa"/>
            <w:gridSpan w:val="4"/>
            <w:tcBorders>
              <w:top w:val="single" w:sz="4" w:space="0" w:color="auto"/>
              <w:left w:val="single" w:sz="4" w:space="0" w:color="auto"/>
              <w:bottom w:val="single" w:sz="4" w:space="0" w:color="auto"/>
              <w:right w:val="single" w:sz="4" w:space="0" w:color="auto"/>
            </w:tcBorders>
            <w:vAlign w:val="center"/>
          </w:tcPr>
          <w:p w14:paraId="7740C84B" w14:textId="77777777" w:rsidR="00EC41AB" w:rsidRDefault="00000000">
            <w:pPr>
              <w:adjustRightInd w:val="0"/>
              <w:snapToGrid w:val="0"/>
              <w:spacing w:line="300" w:lineRule="auto"/>
              <w:rPr>
                <w:rFonts w:ascii="仿宋" w:eastAsia="仿宋" w:hAnsi="仿宋"/>
                <w:szCs w:val="21"/>
              </w:rPr>
            </w:pPr>
            <w:r>
              <w:rPr>
                <w:rFonts w:ascii="仿宋" w:eastAsia="仿宋" w:hAnsi="仿宋" w:hint="eastAsia"/>
                <w:szCs w:val="21"/>
              </w:rPr>
              <w:t>畜牧行业ESG评价指南</w:t>
            </w:r>
          </w:p>
        </w:tc>
        <w:tc>
          <w:tcPr>
            <w:tcW w:w="1987" w:type="dxa"/>
            <w:tcBorders>
              <w:top w:val="single" w:sz="4" w:space="0" w:color="auto"/>
              <w:left w:val="single" w:sz="4" w:space="0" w:color="auto"/>
              <w:bottom w:val="single" w:sz="4" w:space="0" w:color="auto"/>
              <w:right w:val="single" w:sz="4" w:space="0" w:color="auto"/>
            </w:tcBorders>
            <w:vAlign w:val="center"/>
          </w:tcPr>
          <w:p w14:paraId="0B50DE2F" w14:textId="77777777" w:rsidR="00EC41AB" w:rsidRDefault="00000000">
            <w:pPr>
              <w:adjustRightInd w:val="0"/>
              <w:snapToGrid w:val="0"/>
              <w:spacing w:line="300" w:lineRule="auto"/>
              <w:rPr>
                <w:rFonts w:ascii="仿宋" w:eastAsia="仿宋" w:hAnsi="仿宋"/>
                <w:szCs w:val="21"/>
              </w:rPr>
            </w:pPr>
            <w:r>
              <w:rPr>
                <w:rFonts w:ascii="仿宋" w:eastAsia="仿宋" w:hAnsi="仿宋" w:hint="eastAsia"/>
                <w:szCs w:val="21"/>
              </w:rPr>
              <w:t>建议项目名称</w:t>
            </w:r>
          </w:p>
          <w:p w14:paraId="38686B25" w14:textId="77777777" w:rsidR="00EC41AB" w:rsidRDefault="00000000">
            <w:pPr>
              <w:adjustRightInd w:val="0"/>
              <w:snapToGrid w:val="0"/>
              <w:spacing w:line="300" w:lineRule="auto"/>
              <w:rPr>
                <w:rFonts w:ascii="仿宋" w:eastAsia="仿宋" w:hAnsi="仿宋"/>
                <w:szCs w:val="21"/>
              </w:rPr>
            </w:pPr>
            <w:r>
              <w:rPr>
                <w:rFonts w:ascii="仿宋" w:eastAsia="仿宋" w:hAnsi="仿宋"/>
                <w:szCs w:val="21"/>
              </w:rPr>
              <w:t>(</w:t>
            </w:r>
            <w:r>
              <w:rPr>
                <w:rFonts w:ascii="仿宋" w:eastAsia="仿宋" w:hAnsi="仿宋" w:hint="eastAsia"/>
                <w:szCs w:val="21"/>
              </w:rPr>
              <w:t>英文</w:t>
            </w:r>
            <w:r>
              <w:rPr>
                <w:rFonts w:ascii="仿宋" w:eastAsia="仿宋" w:hAnsi="仿宋"/>
                <w:szCs w:val="21"/>
              </w:rPr>
              <w:t>)</w:t>
            </w: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18E33B84" w14:textId="77777777" w:rsidR="00EC41AB" w:rsidRDefault="00000000">
            <w:pPr>
              <w:adjustRightInd w:val="0"/>
              <w:snapToGrid w:val="0"/>
              <w:spacing w:line="300" w:lineRule="auto"/>
              <w:rPr>
                <w:rFonts w:ascii="仿宋" w:eastAsia="仿宋" w:hAnsi="仿宋"/>
                <w:szCs w:val="21"/>
              </w:rPr>
            </w:pPr>
            <w:r>
              <w:rPr>
                <w:rFonts w:ascii="仿宋" w:eastAsia="仿宋" w:hAnsi="仿宋" w:hint="eastAsia"/>
                <w:szCs w:val="21"/>
              </w:rPr>
              <w:t>（可选项）</w:t>
            </w:r>
          </w:p>
        </w:tc>
      </w:tr>
      <w:tr w:rsidR="00EC41AB" w14:paraId="647CF74F" w14:textId="77777777">
        <w:trPr>
          <w:trHeight w:val="435"/>
          <w:jc w:val="center"/>
        </w:trPr>
        <w:tc>
          <w:tcPr>
            <w:tcW w:w="2010" w:type="dxa"/>
            <w:tcBorders>
              <w:top w:val="single" w:sz="4" w:space="0" w:color="auto"/>
              <w:left w:val="single" w:sz="4" w:space="0" w:color="auto"/>
              <w:bottom w:val="single" w:sz="4" w:space="0" w:color="auto"/>
              <w:right w:val="single" w:sz="4" w:space="0" w:color="auto"/>
            </w:tcBorders>
            <w:vAlign w:val="center"/>
          </w:tcPr>
          <w:p w14:paraId="1D37EC33" w14:textId="77777777" w:rsidR="00EC41AB" w:rsidRDefault="00000000">
            <w:pPr>
              <w:pStyle w:val="a5"/>
              <w:pBdr>
                <w:bottom w:val="none" w:sz="0" w:space="0" w:color="auto"/>
              </w:pBdr>
              <w:tabs>
                <w:tab w:val="left" w:pos="420"/>
              </w:tabs>
              <w:adjustRightInd w:val="0"/>
              <w:spacing w:line="300" w:lineRule="auto"/>
              <w:jc w:val="both"/>
              <w:rPr>
                <w:rFonts w:ascii="仿宋" w:eastAsia="仿宋" w:hAnsi="仿宋"/>
                <w:sz w:val="21"/>
                <w:szCs w:val="21"/>
              </w:rPr>
            </w:pPr>
            <w:r>
              <w:rPr>
                <w:rFonts w:ascii="仿宋" w:eastAsia="仿宋" w:hAnsi="仿宋" w:hint="eastAsia"/>
                <w:sz w:val="21"/>
                <w:szCs w:val="21"/>
              </w:rPr>
              <w:t>制定或修订</w:t>
            </w:r>
          </w:p>
        </w:tc>
        <w:tc>
          <w:tcPr>
            <w:tcW w:w="1368" w:type="dxa"/>
            <w:gridSpan w:val="2"/>
            <w:tcBorders>
              <w:top w:val="single" w:sz="4" w:space="0" w:color="auto"/>
              <w:left w:val="single" w:sz="4" w:space="0" w:color="auto"/>
              <w:bottom w:val="single" w:sz="4" w:space="0" w:color="auto"/>
              <w:right w:val="single" w:sz="4" w:space="0" w:color="auto"/>
            </w:tcBorders>
            <w:vAlign w:val="center"/>
          </w:tcPr>
          <w:p w14:paraId="056D2949" w14:textId="77777777" w:rsidR="00EC41AB" w:rsidRDefault="00000000">
            <w:pPr>
              <w:adjustRightInd w:val="0"/>
              <w:snapToGrid w:val="0"/>
              <w:spacing w:line="300" w:lineRule="auto"/>
              <w:ind w:firstLineChars="100" w:firstLine="210"/>
              <w:rPr>
                <w:rFonts w:ascii="仿宋" w:eastAsia="仿宋" w:hAnsi="仿宋"/>
                <w:szCs w:val="21"/>
              </w:rPr>
            </w:pPr>
            <w:r>
              <w:rPr>
                <w:rFonts w:ascii="仿宋" w:eastAsia="仿宋" w:hAnsi="仿宋" w:hint="eastAsia"/>
                <w:szCs w:val="21"/>
              </w:rPr>
              <w:sym w:font="Wingdings 2" w:char="0052"/>
            </w:r>
            <w:r>
              <w:rPr>
                <w:rFonts w:ascii="仿宋" w:eastAsia="仿宋" w:hAnsi="仿宋" w:hint="eastAsia"/>
                <w:szCs w:val="21"/>
              </w:rPr>
              <w:t>制定</w:t>
            </w:r>
          </w:p>
        </w:tc>
        <w:tc>
          <w:tcPr>
            <w:tcW w:w="1362" w:type="dxa"/>
            <w:gridSpan w:val="2"/>
            <w:tcBorders>
              <w:top w:val="single" w:sz="4" w:space="0" w:color="auto"/>
              <w:left w:val="single" w:sz="4" w:space="0" w:color="auto"/>
              <w:bottom w:val="single" w:sz="4" w:space="0" w:color="auto"/>
              <w:right w:val="single" w:sz="4" w:space="0" w:color="auto"/>
            </w:tcBorders>
            <w:vAlign w:val="center"/>
          </w:tcPr>
          <w:p w14:paraId="47D5974E" w14:textId="77777777" w:rsidR="00EC41AB" w:rsidRDefault="00000000">
            <w:pPr>
              <w:adjustRightInd w:val="0"/>
              <w:snapToGrid w:val="0"/>
              <w:spacing w:line="300" w:lineRule="auto"/>
              <w:rPr>
                <w:rFonts w:ascii="仿宋" w:eastAsia="仿宋" w:hAnsi="仿宋"/>
                <w:szCs w:val="21"/>
              </w:rPr>
            </w:pPr>
            <w:r>
              <w:rPr>
                <w:rFonts w:ascii="仿宋" w:eastAsia="仿宋" w:hAnsi="仿宋" w:hint="eastAsia"/>
                <w:szCs w:val="21"/>
              </w:rPr>
              <w:t>□修订</w:t>
            </w:r>
          </w:p>
        </w:tc>
        <w:tc>
          <w:tcPr>
            <w:tcW w:w="1987" w:type="dxa"/>
            <w:tcBorders>
              <w:top w:val="single" w:sz="4" w:space="0" w:color="auto"/>
              <w:left w:val="single" w:sz="4" w:space="0" w:color="auto"/>
              <w:bottom w:val="single" w:sz="4" w:space="0" w:color="auto"/>
              <w:right w:val="single" w:sz="4" w:space="0" w:color="auto"/>
            </w:tcBorders>
            <w:vAlign w:val="center"/>
          </w:tcPr>
          <w:p w14:paraId="681A779B" w14:textId="77777777" w:rsidR="00EC41AB" w:rsidRDefault="00000000">
            <w:pPr>
              <w:adjustRightInd w:val="0"/>
              <w:snapToGrid w:val="0"/>
              <w:spacing w:line="300" w:lineRule="auto"/>
              <w:rPr>
                <w:rFonts w:ascii="仿宋" w:eastAsia="仿宋" w:hAnsi="仿宋"/>
                <w:szCs w:val="21"/>
              </w:rPr>
            </w:pPr>
            <w:r>
              <w:rPr>
                <w:rFonts w:ascii="仿宋" w:eastAsia="仿宋" w:hAnsi="仿宋" w:hint="eastAsia"/>
                <w:szCs w:val="21"/>
              </w:rPr>
              <w:t>被修订标准编号</w:t>
            </w: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5A6B6134" w14:textId="77777777" w:rsidR="00EC41AB" w:rsidRDefault="00EC41AB">
            <w:pPr>
              <w:adjustRightInd w:val="0"/>
              <w:snapToGrid w:val="0"/>
              <w:spacing w:line="300" w:lineRule="auto"/>
              <w:rPr>
                <w:rFonts w:ascii="仿宋" w:eastAsia="仿宋" w:hAnsi="仿宋"/>
                <w:szCs w:val="21"/>
              </w:rPr>
            </w:pPr>
          </w:p>
        </w:tc>
      </w:tr>
      <w:tr w:rsidR="00EC41AB" w14:paraId="34EC3024" w14:textId="77777777">
        <w:trPr>
          <w:trHeight w:val="435"/>
          <w:jc w:val="center"/>
        </w:trPr>
        <w:tc>
          <w:tcPr>
            <w:tcW w:w="2010" w:type="dxa"/>
            <w:tcBorders>
              <w:top w:val="single" w:sz="4" w:space="0" w:color="auto"/>
              <w:left w:val="single" w:sz="4" w:space="0" w:color="auto"/>
              <w:bottom w:val="single" w:sz="4" w:space="0" w:color="auto"/>
              <w:right w:val="single" w:sz="4" w:space="0" w:color="auto"/>
            </w:tcBorders>
            <w:vAlign w:val="center"/>
          </w:tcPr>
          <w:p w14:paraId="29286F5C" w14:textId="77777777" w:rsidR="00EC41AB" w:rsidRDefault="00000000">
            <w:pPr>
              <w:pStyle w:val="a5"/>
              <w:pBdr>
                <w:bottom w:val="none" w:sz="0" w:space="0" w:color="auto"/>
              </w:pBdr>
              <w:tabs>
                <w:tab w:val="left" w:pos="420"/>
              </w:tabs>
              <w:adjustRightInd w:val="0"/>
              <w:spacing w:line="300" w:lineRule="auto"/>
              <w:jc w:val="both"/>
              <w:rPr>
                <w:rFonts w:ascii="仿宋" w:eastAsia="仿宋" w:hAnsi="仿宋"/>
                <w:sz w:val="21"/>
                <w:szCs w:val="21"/>
              </w:rPr>
            </w:pPr>
            <w:r>
              <w:rPr>
                <w:rFonts w:ascii="仿宋" w:eastAsia="仿宋" w:hAnsi="仿宋" w:hint="eastAsia"/>
                <w:sz w:val="21"/>
                <w:szCs w:val="21"/>
              </w:rPr>
              <w:t>对应国家标准或行业标准情况</w:t>
            </w:r>
          </w:p>
        </w:tc>
        <w:tc>
          <w:tcPr>
            <w:tcW w:w="1368" w:type="dxa"/>
            <w:gridSpan w:val="2"/>
            <w:tcBorders>
              <w:top w:val="single" w:sz="4" w:space="0" w:color="auto"/>
              <w:left w:val="single" w:sz="4" w:space="0" w:color="auto"/>
              <w:bottom w:val="single" w:sz="4" w:space="0" w:color="auto"/>
              <w:right w:val="single" w:sz="4" w:space="0" w:color="auto"/>
            </w:tcBorders>
            <w:vAlign w:val="center"/>
          </w:tcPr>
          <w:p w14:paraId="0F44F836" w14:textId="77777777" w:rsidR="00EC41AB" w:rsidRDefault="00000000">
            <w:pPr>
              <w:adjustRightInd w:val="0"/>
              <w:snapToGrid w:val="0"/>
              <w:spacing w:line="300" w:lineRule="auto"/>
              <w:ind w:firstLineChars="100" w:firstLine="210"/>
              <w:rPr>
                <w:rFonts w:ascii="仿宋" w:eastAsia="仿宋" w:hAnsi="仿宋"/>
                <w:szCs w:val="21"/>
              </w:rPr>
            </w:pPr>
            <w:r>
              <w:rPr>
                <w:rFonts w:ascii="仿宋" w:eastAsia="仿宋" w:hAnsi="仿宋" w:hint="eastAsia"/>
                <w:szCs w:val="21"/>
              </w:rPr>
              <w:t>□有</w:t>
            </w:r>
          </w:p>
        </w:tc>
        <w:tc>
          <w:tcPr>
            <w:tcW w:w="1362" w:type="dxa"/>
            <w:gridSpan w:val="2"/>
            <w:tcBorders>
              <w:top w:val="single" w:sz="4" w:space="0" w:color="auto"/>
              <w:left w:val="single" w:sz="4" w:space="0" w:color="auto"/>
              <w:bottom w:val="single" w:sz="4" w:space="0" w:color="auto"/>
              <w:right w:val="single" w:sz="4" w:space="0" w:color="auto"/>
            </w:tcBorders>
            <w:vAlign w:val="center"/>
          </w:tcPr>
          <w:p w14:paraId="63F2F6A6" w14:textId="77777777" w:rsidR="00EC41AB" w:rsidRDefault="00000000">
            <w:pPr>
              <w:adjustRightInd w:val="0"/>
              <w:snapToGrid w:val="0"/>
              <w:spacing w:line="300" w:lineRule="auto"/>
              <w:rPr>
                <w:rFonts w:ascii="仿宋" w:eastAsia="仿宋" w:hAnsi="仿宋"/>
                <w:szCs w:val="21"/>
              </w:rPr>
            </w:pPr>
            <w:r>
              <w:rPr>
                <w:rFonts w:ascii="仿宋" w:eastAsia="仿宋" w:hAnsi="仿宋" w:hint="eastAsia"/>
                <w:szCs w:val="21"/>
              </w:rPr>
              <w:sym w:font="Wingdings 2" w:char="0052"/>
            </w:r>
            <w:r>
              <w:rPr>
                <w:rFonts w:ascii="仿宋" w:eastAsia="仿宋" w:hAnsi="仿宋" w:hint="eastAsia"/>
                <w:szCs w:val="21"/>
              </w:rPr>
              <w:t>无</w:t>
            </w:r>
          </w:p>
        </w:tc>
        <w:tc>
          <w:tcPr>
            <w:tcW w:w="1987" w:type="dxa"/>
            <w:tcBorders>
              <w:top w:val="single" w:sz="4" w:space="0" w:color="auto"/>
              <w:left w:val="single" w:sz="4" w:space="0" w:color="auto"/>
              <w:bottom w:val="single" w:sz="4" w:space="0" w:color="auto"/>
              <w:right w:val="single" w:sz="4" w:space="0" w:color="auto"/>
            </w:tcBorders>
            <w:vAlign w:val="center"/>
          </w:tcPr>
          <w:p w14:paraId="7AED1FA2" w14:textId="77777777" w:rsidR="00EC41AB" w:rsidRDefault="00000000">
            <w:pPr>
              <w:adjustRightInd w:val="0"/>
              <w:snapToGrid w:val="0"/>
              <w:spacing w:line="300" w:lineRule="auto"/>
              <w:rPr>
                <w:rFonts w:ascii="仿宋" w:eastAsia="仿宋" w:hAnsi="仿宋"/>
                <w:szCs w:val="21"/>
              </w:rPr>
            </w:pPr>
            <w:r>
              <w:rPr>
                <w:rFonts w:ascii="仿宋" w:eastAsia="仿宋" w:hAnsi="仿宋" w:hint="eastAsia"/>
                <w:szCs w:val="21"/>
              </w:rPr>
              <w:t>对应国家标准或行业标准编号</w:t>
            </w: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75E3882D" w14:textId="77777777" w:rsidR="00EC41AB" w:rsidRDefault="00EC41AB">
            <w:pPr>
              <w:adjustRightInd w:val="0"/>
              <w:snapToGrid w:val="0"/>
              <w:spacing w:line="300" w:lineRule="auto"/>
              <w:rPr>
                <w:rFonts w:ascii="仿宋" w:eastAsia="仿宋" w:hAnsi="仿宋"/>
                <w:szCs w:val="21"/>
              </w:rPr>
            </w:pPr>
          </w:p>
        </w:tc>
      </w:tr>
      <w:tr w:rsidR="00EC41AB" w14:paraId="6FA2F028" w14:textId="77777777">
        <w:trPr>
          <w:trHeight w:val="439"/>
          <w:jc w:val="center"/>
        </w:trPr>
        <w:tc>
          <w:tcPr>
            <w:tcW w:w="2010" w:type="dxa"/>
            <w:tcBorders>
              <w:top w:val="single" w:sz="4" w:space="0" w:color="auto"/>
              <w:left w:val="single" w:sz="4" w:space="0" w:color="auto"/>
              <w:bottom w:val="single" w:sz="4" w:space="0" w:color="auto"/>
              <w:right w:val="single" w:sz="4" w:space="0" w:color="auto"/>
            </w:tcBorders>
            <w:vAlign w:val="center"/>
          </w:tcPr>
          <w:p w14:paraId="63FFB06A" w14:textId="77777777" w:rsidR="00EC41AB" w:rsidRDefault="00000000">
            <w:pPr>
              <w:pStyle w:val="a5"/>
              <w:pBdr>
                <w:bottom w:val="none" w:sz="0" w:space="0" w:color="auto"/>
              </w:pBdr>
              <w:tabs>
                <w:tab w:val="left" w:pos="420"/>
              </w:tabs>
              <w:adjustRightInd w:val="0"/>
              <w:spacing w:line="300" w:lineRule="auto"/>
              <w:jc w:val="both"/>
              <w:rPr>
                <w:rFonts w:ascii="仿宋" w:eastAsia="仿宋" w:hAnsi="仿宋"/>
                <w:sz w:val="21"/>
                <w:szCs w:val="21"/>
              </w:rPr>
            </w:pPr>
            <w:r>
              <w:rPr>
                <w:rFonts w:ascii="仿宋" w:eastAsia="仿宋" w:hAnsi="仿宋" w:hint="eastAsia"/>
                <w:sz w:val="21"/>
                <w:szCs w:val="21"/>
              </w:rPr>
              <w:t>采标程度</w:t>
            </w:r>
          </w:p>
        </w:tc>
        <w:tc>
          <w:tcPr>
            <w:tcW w:w="960" w:type="dxa"/>
            <w:tcBorders>
              <w:top w:val="single" w:sz="4" w:space="0" w:color="auto"/>
              <w:left w:val="single" w:sz="4" w:space="0" w:color="auto"/>
              <w:bottom w:val="single" w:sz="4" w:space="0" w:color="auto"/>
              <w:right w:val="single" w:sz="4" w:space="0" w:color="auto"/>
            </w:tcBorders>
            <w:vAlign w:val="center"/>
          </w:tcPr>
          <w:p w14:paraId="631FBC74" w14:textId="77777777" w:rsidR="00EC41AB" w:rsidRDefault="00000000">
            <w:pPr>
              <w:adjustRightInd w:val="0"/>
              <w:snapToGrid w:val="0"/>
              <w:spacing w:line="300" w:lineRule="auto"/>
              <w:rPr>
                <w:rFonts w:ascii="仿宋" w:eastAsia="仿宋" w:hAnsi="仿宋"/>
                <w:szCs w:val="21"/>
              </w:rPr>
            </w:pPr>
            <w:r>
              <w:rPr>
                <w:rFonts w:ascii="仿宋" w:eastAsia="仿宋" w:hAnsi="仿宋" w:hint="eastAsia"/>
                <w:szCs w:val="21"/>
              </w:rPr>
              <w:t>□</w:t>
            </w:r>
            <w:r>
              <w:rPr>
                <w:rFonts w:ascii="仿宋" w:eastAsia="仿宋" w:hAnsi="仿宋"/>
                <w:szCs w:val="21"/>
              </w:rPr>
              <w:t>IDT</w:t>
            </w:r>
          </w:p>
        </w:tc>
        <w:tc>
          <w:tcPr>
            <w:tcW w:w="852" w:type="dxa"/>
            <w:gridSpan w:val="2"/>
            <w:tcBorders>
              <w:top w:val="single" w:sz="4" w:space="0" w:color="auto"/>
              <w:left w:val="single" w:sz="4" w:space="0" w:color="auto"/>
              <w:bottom w:val="single" w:sz="4" w:space="0" w:color="auto"/>
              <w:right w:val="single" w:sz="4" w:space="0" w:color="auto"/>
            </w:tcBorders>
            <w:vAlign w:val="center"/>
          </w:tcPr>
          <w:p w14:paraId="538DA833" w14:textId="77777777" w:rsidR="00EC41AB" w:rsidRDefault="00000000">
            <w:pPr>
              <w:adjustRightInd w:val="0"/>
              <w:snapToGrid w:val="0"/>
              <w:spacing w:line="300" w:lineRule="auto"/>
              <w:rPr>
                <w:rFonts w:ascii="仿宋" w:eastAsia="仿宋" w:hAnsi="仿宋"/>
                <w:szCs w:val="21"/>
              </w:rPr>
            </w:pPr>
            <w:r>
              <w:rPr>
                <w:rFonts w:ascii="仿宋" w:eastAsia="仿宋" w:hAnsi="仿宋" w:hint="eastAsia"/>
                <w:szCs w:val="21"/>
              </w:rPr>
              <w:t>□</w:t>
            </w:r>
            <w:r>
              <w:rPr>
                <w:rFonts w:ascii="仿宋" w:eastAsia="仿宋" w:hAnsi="仿宋"/>
                <w:szCs w:val="21"/>
              </w:rPr>
              <w:t>MOD</w:t>
            </w:r>
          </w:p>
        </w:tc>
        <w:tc>
          <w:tcPr>
            <w:tcW w:w="918" w:type="dxa"/>
            <w:tcBorders>
              <w:top w:val="single" w:sz="4" w:space="0" w:color="auto"/>
              <w:left w:val="single" w:sz="4" w:space="0" w:color="auto"/>
              <w:bottom w:val="single" w:sz="4" w:space="0" w:color="auto"/>
              <w:right w:val="single" w:sz="4" w:space="0" w:color="auto"/>
            </w:tcBorders>
            <w:vAlign w:val="center"/>
          </w:tcPr>
          <w:p w14:paraId="7C7A823E" w14:textId="77777777" w:rsidR="00EC41AB" w:rsidRDefault="00000000">
            <w:pPr>
              <w:adjustRightInd w:val="0"/>
              <w:snapToGrid w:val="0"/>
              <w:spacing w:line="300" w:lineRule="auto"/>
              <w:rPr>
                <w:rFonts w:ascii="仿宋" w:eastAsia="仿宋" w:hAnsi="仿宋"/>
                <w:szCs w:val="21"/>
              </w:rPr>
            </w:pPr>
            <w:r>
              <w:rPr>
                <w:rFonts w:ascii="仿宋" w:eastAsia="仿宋" w:hAnsi="仿宋" w:hint="eastAsia"/>
                <w:szCs w:val="21"/>
              </w:rPr>
              <w:t>□</w:t>
            </w:r>
            <w:r>
              <w:rPr>
                <w:rFonts w:ascii="仿宋" w:eastAsia="仿宋" w:hAnsi="仿宋"/>
                <w:szCs w:val="21"/>
              </w:rPr>
              <w:t>NEQ</w:t>
            </w:r>
          </w:p>
        </w:tc>
        <w:tc>
          <w:tcPr>
            <w:tcW w:w="1987" w:type="dxa"/>
            <w:tcBorders>
              <w:top w:val="single" w:sz="4" w:space="0" w:color="auto"/>
              <w:left w:val="single" w:sz="4" w:space="0" w:color="auto"/>
              <w:bottom w:val="single" w:sz="4" w:space="0" w:color="auto"/>
              <w:right w:val="single" w:sz="4" w:space="0" w:color="auto"/>
            </w:tcBorders>
            <w:vAlign w:val="center"/>
          </w:tcPr>
          <w:p w14:paraId="02E37CF0" w14:textId="77777777" w:rsidR="00EC41AB" w:rsidRDefault="00000000">
            <w:pPr>
              <w:adjustRightInd w:val="0"/>
              <w:snapToGrid w:val="0"/>
              <w:spacing w:line="300" w:lineRule="auto"/>
              <w:rPr>
                <w:rFonts w:ascii="仿宋" w:eastAsia="仿宋" w:hAnsi="仿宋"/>
                <w:szCs w:val="21"/>
              </w:rPr>
            </w:pPr>
            <w:r>
              <w:rPr>
                <w:rFonts w:ascii="仿宋" w:eastAsia="仿宋" w:hAnsi="仿宋" w:hint="eastAsia"/>
                <w:szCs w:val="21"/>
              </w:rPr>
              <w:t>采标编号</w:t>
            </w: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6C3CB2C4" w14:textId="77777777" w:rsidR="00EC41AB" w:rsidRDefault="00EC41AB">
            <w:pPr>
              <w:adjustRightInd w:val="0"/>
              <w:snapToGrid w:val="0"/>
              <w:spacing w:line="300" w:lineRule="auto"/>
              <w:rPr>
                <w:rFonts w:ascii="仿宋" w:eastAsia="仿宋" w:hAnsi="仿宋"/>
                <w:szCs w:val="21"/>
              </w:rPr>
            </w:pPr>
          </w:p>
        </w:tc>
      </w:tr>
      <w:tr w:rsidR="00EC41AB" w14:paraId="68C3D5E6" w14:textId="77777777">
        <w:trPr>
          <w:trHeight w:val="439"/>
          <w:jc w:val="center"/>
        </w:trPr>
        <w:tc>
          <w:tcPr>
            <w:tcW w:w="2010" w:type="dxa"/>
            <w:tcBorders>
              <w:top w:val="single" w:sz="4" w:space="0" w:color="auto"/>
              <w:left w:val="single" w:sz="4" w:space="0" w:color="auto"/>
              <w:bottom w:val="single" w:sz="4" w:space="0" w:color="auto"/>
              <w:right w:val="single" w:sz="4" w:space="0" w:color="auto"/>
            </w:tcBorders>
            <w:vAlign w:val="center"/>
          </w:tcPr>
          <w:p w14:paraId="58E40F1D" w14:textId="77777777" w:rsidR="00EC41AB" w:rsidRDefault="00000000">
            <w:pPr>
              <w:pStyle w:val="a5"/>
              <w:pBdr>
                <w:bottom w:val="none" w:sz="0" w:space="0" w:color="auto"/>
              </w:pBdr>
              <w:tabs>
                <w:tab w:val="left" w:pos="420"/>
              </w:tabs>
              <w:adjustRightInd w:val="0"/>
              <w:spacing w:line="300" w:lineRule="auto"/>
              <w:jc w:val="both"/>
              <w:rPr>
                <w:rFonts w:ascii="仿宋" w:eastAsia="仿宋" w:hAnsi="仿宋"/>
                <w:sz w:val="21"/>
                <w:szCs w:val="21"/>
              </w:rPr>
            </w:pPr>
            <w:r>
              <w:rPr>
                <w:rFonts w:ascii="仿宋" w:eastAsia="仿宋" w:hAnsi="仿宋" w:hint="eastAsia"/>
                <w:sz w:val="21"/>
                <w:szCs w:val="21"/>
              </w:rPr>
              <w:t>采用快速程序</w:t>
            </w:r>
          </w:p>
        </w:tc>
        <w:tc>
          <w:tcPr>
            <w:tcW w:w="2730" w:type="dxa"/>
            <w:gridSpan w:val="4"/>
            <w:tcBorders>
              <w:top w:val="single" w:sz="4" w:space="0" w:color="auto"/>
              <w:left w:val="single" w:sz="4" w:space="0" w:color="auto"/>
              <w:bottom w:val="single" w:sz="4" w:space="0" w:color="auto"/>
              <w:right w:val="single" w:sz="4" w:space="0" w:color="auto"/>
            </w:tcBorders>
            <w:vAlign w:val="center"/>
          </w:tcPr>
          <w:p w14:paraId="4024AA9F" w14:textId="77777777" w:rsidR="00EC41AB" w:rsidRDefault="00000000">
            <w:pPr>
              <w:adjustRightInd w:val="0"/>
              <w:snapToGrid w:val="0"/>
              <w:spacing w:line="300" w:lineRule="auto"/>
              <w:rPr>
                <w:rFonts w:ascii="仿宋" w:eastAsia="仿宋" w:hAnsi="仿宋"/>
                <w:szCs w:val="21"/>
              </w:rPr>
            </w:pPr>
            <w:r>
              <w:rPr>
                <w:rFonts w:ascii="仿宋" w:eastAsia="仿宋" w:hAnsi="仿宋" w:hint="eastAsia"/>
                <w:szCs w:val="21"/>
              </w:rPr>
              <w:t>□</w:t>
            </w:r>
            <w:r>
              <w:rPr>
                <w:rFonts w:ascii="仿宋" w:eastAsia="仿宋" w:hAnsi="仿宋"/>
                <w:szCs w:val="21"/>
              </w:rPr>
              <w:t>FTP</w:t>
            </w:r>
          </w:p>
        </w:tc>
        <w:tc>
          <w:tcPr>
            <w:tcW w:w="1987" w:type="dxa"/>
            <w:tcBorders>
              <w:top w:val="single" w:sz="4" w:space="0" w:color="auto"/>
              <w:left w:val="single" w:sz="4" w:space="0" w:color="auto"/>
              <w:bottom w:val="single" w:sz="4" w:space="0" w:color="auto"/>
              <w:right w:val="single" w:sz="4" w:space="0" w:color="auto"/>
            </w:tcBorders>
            <w:vAlign w:val="center"/>
          </w:tcPr>
          <w:p w14:paraId="59B25C7E" w14:textId="77777777" w:rsidR="00EC41AB" w:rsidRDefault="00000000">
            <w:pPr>
              <w:adjustRightInd w:val="0"/>
              <w:snapToGrid w:val="0"/>
              <w:spacing w:line="300" w:lineRule="auto"/>
              <w:rPr>
                <w:rFonts w:ascii="仿宋" w:eastAsia="仿宋" w:hAnsi="仿宋"/>
                <w:szCs w:val="21"/>
              </w:rPr>
            </w:pPr>
            <w:r>
              <w:rPr>
                <w:rFonts w:ascii="仿宋" w:eastAsia="仿宋" w:hAnsi="仿宋" w:hint="eastAsia"/>
                <w:szCs w:val="21"/>
              </w:rPr>
              <w:t>快速程序代码</w:t>
            </w:r>
          </w:p>
        </w:tc>
        <w:tc>
          <w:tcPr>
            <w:tcW w:w="1380" w:type="dxa"/>
            <w:tcBorders>
              <w:top w:val="single" w:sz="4" w:space="0" w:color="auto"/>
              <w:left w:val="single" w:sz="4" w:space="0" w:color="auto"/>
              <w:bottom w:val="single" w:sz="4" w:space="0" w:color="auto"/>
              <w:right w:val="single" w:sz="4" w:space="0" w:color="auto"/>
            </w:tcBorders>
            <w:vAlign w:val="center"/>
          </w:tcPr>
          <w:p w14:paraId="2A933999" w14:textId="77777777" w:rsidR="00EC41AB" w:rsidRDefault="00000000">
            <w:pPr>
              <w:adjustRightInd w:val="0"/>
              <w:snapToGrid w:val="0"/>
              <w:spacing w:line="300" w:lineRule="auto"/>
              <w:rPr>
                <w:rFonts w:ascii="仿宋" w:eastAsia="仿宋" w:hAnsi="仿宋"/>
                <w:szCs w:val="21"/>
              </w:rPr>
            </w:pPr>
            <w:r>
              <w:rPr>
                <w:rFonts w:ascii="仿宋" w:eastAsia="仿宋" w:hAnsi="仿宋" w:hint="eastAsia"/>
                <w:szCs w:val="21"/>
              </w:rPr>
              <w:t>□</w:t>
            </w:r>
            <w:r>
              <w:rPr>
                <w:rFonts w:ascii="仿宋" w:eastAsia="仿宋" w:hAnsi="仿宋"/>
                <w:szCs w:val="21"/>
              </w:rPr>
              <w:t>B</w:t>
            </w:r>
          </w:p>
        </w:tc>
        <w:tc>
          <w:tcPr>
            <w:tcW w:w="1757" w:type="dxa"/>
            <w:tcBorders>
              <w:top w:val="single" w:sz="4" w:space="0" w:color="auto"/>
              <w:left w:val="single" w:sz="4" w:space="0" w:color="auto"/>
              <w:bottom w:val="single" w:sz="4" w:space="0" w:color="auto"/>
              <w:right w:val="single" w:sz="4" w:space="0" w:color="auto"/>
            </w:tcBorders>
            <w:vAlign w:val="center"/>
          </w:tcPr>
          <w:p w14:paraId="6D1564AB" w14:textId="77777777" w:rsidR="00EC41AB" w:rsidRDefault="00000000">
            <w:pPr>
              <w:adjustRightInd w:val="0"/>
              <w:snapToGrid w:val="0"/>
              <w:spacing w:line="300" w:lineRule="auto"/>
              <w:rPr>
                <w:rFonts w:ascii="仿宋" w:eastAsia="仿宋" w:hAnsi="仿宋"/>
                <w:szCs w:val="21"/>
              </w:rPr>
            </w:pPr>
            <w:r>
              <w:rPr>
                <w:rFonts w:ascii="仿宋" w:eastAsia="仿宋" w:hAnsi="仿宋" w:hint="eastAsia"/>
                <w:szCs w:val="21"/>
              </w:rPr>
              <w:t>□</w:t>
            </w:r>
            <w:r>
              <w:rPr>
                <w:rFonts w:ascii="仿宋" w:eastAsia="仿宋" w:hAnsi="仿宋"/>
                <w:szCs w:val="21"/>
              </w:rPr>
              <w:t>C</w:t>
            </w:r>
          </w:p>
        </w:tc>
      </w:tr>
      <w:tr w:rsidR="00EC41AB" w14:paraId="1A0ED55A" w14:textId="77777777">
        <w:trPr>
          <w:trHeight w:val="654"/>
          <w:jc w:val="center"/>
        </w:trPr>
        <w:tc>
          <w:tcPr>
            <w:tcW w:w="2010" w:type="dxa"/>
            <w:tcBorders>
              <w:top w:val="single" w:sz="4" w:space="0" w:color="auto"/>
              <w:left w:val="single" w:sz="4" w:space="0" w:color="auto"/>
              <w:bottom w:val="single" w:sz="4" w:space="0" w:color="auto"/>
              <w:right w:val="single" w:sz="4" w:space="0" w:color="auto"/>
            </w:tcBorders>
            <w:vAlign w:val="center"/>
          </w:tcPr>
          <w:p w14:paraId="3BF1DA68" w14:textId="77777777" w:rsidR="00EC41AB" w:rsidRDefault="00000000">
            <w:pPr>
              <w:pStyle w:val="a5"/>
              <w:pBdr>
                <w:bottom w:val="none" w:sz="0" w:space="0" w:color="auto"/>
              </w:pBdr>
              <w:tabs>
                <w:tab w:val="left" w:pos="420"/>
              </w:tabs>
              <w:adjustRightInd w:val="0"/>
              <w:spacing w:line="300" w:lineRule="auto"/>
              <w:jc w:val="both"/>
              <w:rPr>
                <w:rFonts w:ascii="仿宋" w:eastAsia="仿宋" w:hAnsi="仿宋"/>
                <w:sz w:val="21"/>
                <w:szCs w:val="21"/>
              </w:rPr>
            </w:pPr>
            <w:r>
              <w:rPr>
                <w:rFonts w:ascii="仿宋" w:eastAsia="仿宋" w:hAnsi="仿宋" w:hint="eastAsia"/>
                <w:sz w:val="21"/>
                <w:szCs w:val="21"/>
              </w:rPr>
              <w:t>ICS分类号</w:t>
            </w:r>
          </w:p>
        </w:tc>
        <w:tc>
          <w:tcPr>
            <w:tcW w:w="2730" w:type="dxa"/>
            <w:gridSpan w:val="4"/>
            <w:tcBorders>
              <w:top w:val="single" w:sz="4" w:space="0" w:color="auto"/>
              <w:left w:val="single" w:sz="4" w:space="0" w:color="auto"/>
              <w:bottom w:val="single" w:sz="4" w:space="0" w:color="auto"/>
              <w:right w:val="single" w:sz="4" w:space="0" w:color="auto"/>
            </w:tcBorders>
            <w:vAlign w:val="center"/>
          </w:tcPr>
          <w:p w14:paraId="4854994E" w14:textId="77777777" w:rsidR="00EC41AB" w:rsidRDefault="00EC41AB">
            <w:pPr>
              <w:adjustRightInd w:val="0"/>
              <w:snapToGrid w:val="0"/>
              <w:spacing w:line="300" w:lineRule="auto"/>
              <w:rPr>
                <w:rFonts w:ascii="仿宋" w:eastAsia="仿宋" w:hAnsi="仿宋"/>
                <w:szCs w:val="21"/>
              </w:rPr>
            </w:pPr>
          </w:p>
        </w:tc>
        <w:tc>
          <w:tcPr>
            <w:tcW w:w="1987" w:type="dxa"/>
            <w:tcBorders>
              <w:top w:val="single" w:sz="4" w:space="0" w:color="auto"/>
              <w:left w:val="single" w:sz="4" w:space="0" w:color="auto"/>
              <w:bottom w:val="single" w:sz="4" w:space="0" w:color="auto"/>
              <w:right w:val="single" w:sz="4" w:space="0" w:color="auto"/>
            </w:tcBorders>
            <w:vAlign w:val="center"/>
          </w:tcPr>
          <w:p w14:paraId="708A10C9" w14:textId="77777777" w:rsidR="00EC41AB" w:rsidRDefault="00000000">
            <w:pPr>
              <w:adjustRightInd w:val="0"/>
              <w:snapToGrid w:val="0"/>
              <w:spacing w:line="300" w:lineRule="auto"/>
              <w:rPr>
                <w:rFonts w:ascii="仿宋" w:eastAsia="仿宋" w:hAnsi="仿宋"/>
                <w:szCs w:val="21"/>
              </w:rPr>
            </w:pPr>
            <w:r>
              <w:rPr>
                <w:rFonts w:ascii="仿宋" w:eastAsia="仿宋" w:hAnsi="仿宋" w:hint="eastAsia"/>
                <w:szCs w:val="21"/>
              </w:rPr>
              <w:t>中国标准分类号</w:t>
            </w: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7BB2EBD9" w14:textId="77777777" w:rsidR="00EC41AB" w:rsidRDefault="00EC41AB">
            <w:pPr>
              <w:adjustRightInd w:val="0"/>
              <w:snapToGrid w:val="0"/>
              <w:spacing w:line="300" w:lineRule="auto"/>
              <w:rPr>
                <w:rFonts w:ascii="仿宋" w:eastAsia="仿宋" w:hAnsi="仿宋"/>
                <w:szCs w:val="21"/>
              </w:rPr>
            </w:pPr>
          </w:p>
        </w:tc>
      </w:tr>
      <w:tr w:rsidR="00EC41AB" w14:paraId="4C0F4B0B" w14:textId="77777777">
        <w:trPr>
          <w:trHeight w:val="654"/>
          <w:jc w:val="center"/>
        </w:trPr>
        <w:tc>
          <w:tcPr>
            <w:tcW w:w="2010" w:type="dxa"/>
            <w:tcBorders>
              <w:top w:val="single" w:sz="4" w:space="0" w:color="auto"/>
              <w:left w:val="single" w:sz="4" w:space="0" w:color="auto"/>
              <w:bottom w:val="single" w:sz="4" w:space="0" w:color="auto"/>
              <w:right w:val="single" w:sz="4" w:space="0" w:color="auto"/>
            </w:tcBorders>
            <w:vAlign w:val="center"/>
          </w:tcPr>
          <w:p w14:paraId="461B985D" w14:textId="77777777" w:rsidR="00EC41AB" w:rsidRDefault="00000000">
            <w:pPr>
              <w:pStyle w:val="a5"/>
              <w:pBdr>
                <w:bottom w:val="none" w:sz="0" w:space="0" w:color="auto"/>
              </w:pBdr>
              <w:tabs>
                <w:tab w:val="left" w:pos="420"/>
              </w:tabs>
              <w:adjustRightInd w:val="0"/>
              <w:spacing w:line="300" w:lineRule="auto"/>
              <w:jc w:val="both"/>
              <w:rPr>
                <w:rFonts w:ascii="仿宋" w:eastAsia="仿宋" w:hAnsi="仿宋"/>
                <w:sz w:val="21"/>
                <w:szCs w:val="21"/>
              </w:rPr>
            </w:pPr>
            <w:r>
              <w:rPr>
                <w:rFonts w:ascii="仿宋" w:eastAsia="仿宋" w:hAnsi="仿宋" w:hint="eastAsia"/>
                <w:sz w:val="21"/>
                <w:szCs w:val="21"/>
              </w:rPr>
              <w:t>标准起草牵头单位</w:t>
            </w:r>
          </w:p>
        </w:tc>
        <w:tc>
          <w:tcPr>
            <w:tcW w:w="2730" w:type="dxa"/>
            <w:gridSpan w:val="4"/>
            <w:tcBorders>
              <w:top w:val="single" w:sz="4" w:space="0" w:color="auto"/>
              <w:left w:val="single" w:sz="4" w:space="0" w:color="auto"/>
              <w:bottom w:val="single" w:sz="4" w:space="0" w:color="auto"/>
              <w:right w:val="single" w:sz="4" w:space="0" w:color="auto"/>
            </w:tcBorders>
            <w:vAlign w:val="center"/>
          </w:tcPr>
          <w:p w14:paraId="2BB10A3E" w14:textId="509B0F1D" w:rsidR="00EC41AB" w:rsidRDefault="00000000">
            <w:pPr>
              <w:pStyle w:val="3"/>
              <w:widowControl/>
              <w:shd w:val="clear" w:color="auto" w:fill="FFFFFF"/>
              <w:spacing w:beforeAutospacing="0" w:after="60" w:afterAutospacing="0" w:line="330" w:lineRule="atLeast"/>
              <w:rPr>
                <w:rFonts w:ascii="仿宋" w:eastAsia="仿宋" w:hAnsi="仿宋" w:hint="default"/>
                <w:szCs w:val="21"/>
              </w:rPr>
            </w:pPr>
            <w:r>
              <w:rPr>
                <w:rFonts w:ascii="仿宋" w:eastAsia="仿宋" w:hAnsi="仿宋"/>
                <w:b w:val="0"/>
                <w:bCs w:val="0"/>
                <w:kern w:val="2"/>
                <w:sz w:val="21"/>
                <w:szCs w:val="21"/>
              </w:rPr>
              <w:t>北京大北农科技集团股份有限公司、中国畜牧业协会</w:t>
            </w:r>
            <w:r w:rsidR="00AE786C">
              <w:rPr>
                <w:rFonts w:ascii="仿宋" w:eastAsia="仿宋" w:hAnsi="仿宋"/>
                <w:b w:val="0"/>
                <w:bCs w:val="0"/>
                <w:color w:val="000000" w:themeColor="text1"/>
                <w:kern w:val="2"/>
                <w:sz w:val="21"/>
                <w:szCs w:val="21"/>
              </w:rPr>
              <w:t>信息</w:t>
            </w:r>
            <w:r w:rsidR="00E766CF" w:rsidRPr="008149B8">
              <w:rPr>
                <w:rFonts w:ascii="仿宋" w:eastAsia="仿宋" w:hAnsi="仿宋"/>
                <w:b w:val="0"/>
                <w:bCs w:val="0"/>
                <w:color w:val="000000" w:themeColor="text1"/>
                <w:kern w:val="2"/>
                <w:sz w:val="21"/>
                <w:szCs w:val="21"/>
              </w:rPr>
              <w:t>分会</w:t>
            </w:r>
            <w:r w:rsidRPr="008149B8">
              <w:rPr>
                <w:rFonts w:ascii="仿宋" w:eastAsia="仿宋" w:hAnsi="仿宋"/>
                <w:b w:val="0"/>
                <w:bCs w:val="0"/>
                <w:color w:val="000000" w:themeColor="text1"/>
                <w:kern w:val="2"/>
                <w:sz w:val="21"/>
                <w:szCs w:val="21"/>
              </w:rPr>
              <w:t>、</w:t>
            </w:r>
            <w:hyperlink r:id="rId8" w:tgtFrame="https://www.baidu.com/_blank" w:history="1">
              <w:r>
                <w:rPr>
                  <w:rFonts w:ascii="仿宋" w:eastAsia="仿宋" w:hAnsi="仿宋" w:hint="default"/>
                  <w:b w:val="0"/>
                  <w:bCs w:val="0"/>
                  <w:kern w:val="2"/>
                  <w:sz w:val="21"/>
                  <w:szCs w:val="21"/>
                </w:rPr>
                <w:t>北京</w:t>
              </w:r>
              <w:proofErr w:type="gramStart"/>
              <w:r>
                <w:rPr>
                  <w:rFonts w:ascii="仿宋" w:eastAsia="仿宋" w:hAnsi="仿宋" w:hint="default"/>
                  <w:b w:val="0"/>
                  <w:bCs w:val="0"/>
                  <w:kern w:val="2"/>
                  <w:sz w:val="21"/>
                  <w:szCs w:val="21"/>
                </w:rPr>
                <w:t>腾景大</w:t>
              </w:r>
              <w:proofErr w:type="gramEnd"/>
              <w:r>
                <w:rPr>
                  <w:rFonts w:ascii="仿宋" w:eastAsia="仿宋" w:hAnsi="仿宋" w:hint="default"/>
                  <w:b w:val="0"/>
                  <w:bCs w:val="0"/>
                  <w:kern w:val="2"/>
                  <w:sz w:val="21"/>
                  <w:szCs w:val="21"/>
                </w:rPr>
                <w:t>数据应用科技研究院</w:t>
              </w:r>
            </w:hyperlink>
          </w:p>
        </w:tc>
        <w:tc>
          <w:tcPr>
            <w:tcW w:w="1987" w:type="dxa"/>
            <w:tcBorders>
              <w:top w:val="single" w:sz="4" w:space="0" w:color="auto"/>
              <w:left w:val="single" w:sz="4" w:space="0" w:color="auto"/>
              <w:bottom w:val="single" w:sz="4" w:space="0" w:color="auto"/>
              <w:right w:val="single" w:sz="4" w:space="0" w:color="auto"/>
            </w:tcBorders>
            <w:vAlign w:val="center"/>
          </w:tcPr>
          <w:p w14:paraId="41E2B9ED" w14:textId="77777777" w:rsidR="00EC41AB" w:rsidRDefault="00000000">
            <w:pPr>
              <w:adjustRightInd w:val="0"/>
              <w:snapToGrid w:val="0"/>
              <w:spacing w:line="300" w:lineRule="auto"/>
              <w:rPr>
                <w:rFonts w:ascii="仿宋" w:eastAsia="仿宋" w:hAnsi="仿宋"/>
                <w:szCs w:val="21"/>
              </w:rPr>
            </w:pPr>
            <w:r>
              <w:rPr>
                <w:rFonts w:ascii="仿宋" w:eastAsia="仿宋" w:hAnsi="仿宋" w:hint="eastAsia"/>
                <w:szCs w:val="21"/>
              </w:rPr>
              <w:t>计划起止时间</w:t>
            </w: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320384ED" w14:textId="77777777" w:rsidR="00EC41AB" w:rsidRDefault="00000000">
            <w:pPr>
              <w:adjustRightInd w:val="0"/>
              <w:snapToGrid w:val="0"/>
              <w:spacing w:line="300" w:lineRule="auto"/>
              <w:rPr>
                <w:rFonts w:ascii="仿宋" w:eastAsia="仿宋" w:hAnsi="仿宋"/>
                <w:szCs w:val="21"/>
              </w:rPr>
            </w:pPr>
            <w:r>
              <w:rPr>
                <w:rFonts w:ascii="仿宋" w:eastAsia="仿宋" w:hAnsi="仿宋" w:hint="eastAsia"/>
                <w:szCs w:val="21"/>
              </w:rPr>
              <w:t>2022.2.1-2023.1.31</w:t>
            </w:r>
          </w:p>
        </w:tc>
      </w:tr>
      <w:tr w:rsidR="00EC41AB" w14:paraId="63E082A2" w14:textId="77777777">
        <w:trPr>
          <w:trHeight w:val="620"/>
          <w:jc w:val="center"/>
        </w:trPr>
        <w:tc>
          <w:tcPr>
            <w:tcW w:w="2010" w:type="dxa"/>
            <w:tcBorders>
              <w:top w:val="single" w:sz="4" w:space="0" w:color="auto"/>
              <w:left w:val="single" w:sz="4" w:space="0" w:color="auto"/>
              <w:bottom w:val="single" w:sz="4" w:space="0" w:color="auto"/>
              <w:right w:val="single" w:sz="4" w:space="0" w:color="auto"/>
            </w:tcBorders>
            <w:vAlign w:val="center"/>
          </w:tcPr>
          <w:p w14:paraId="01BEC1C3" w14:textId="77777777" w:rsidR="00EC41AB" w:rsidRDefault="00000000">
            <w:pPr>
              <w:pStyle w:val="a5"/>
              <w:pBdr>
                <w:bottom w:val="none" w:sz="0" w:space="0" w:color="auto"/>
              </w:pBdr>
              <w:tabs>
                <w:tab w:val="left" w:pos="420"/>
              </w:tabs>
              <w:adjustRightInd w:val="0"/>
              <w:spacing w:line="300" w:lineRule="auto"/>
              <w:jc w:val="both"/>
              <w:rPr>
                <w:rFonts w:ascii="仿宋" w:eastAsia="仿宋" w:hAnsi="仿宋"/>
                <w:sz w:val="21"/>
                <w:szCs w:val="21"/>
              </w:rPr>
            </w:pPr>
            <w:r>
              <w:rPr>
                <w:rFonts w:ascii="仿宋" w:eastAsia="仿宋" w:hAnsi="仿宋" w:hint="eastAsia"/>
                <w:sz w:val="21"/>
                <w:szCs w:val="21"/>
              </w:rPr>
              <w:t>标准起草参加单位</w:t>
            </w:r>
          </w:p>
        </w:tc>
        <w:tc>
          <w:tcPr>
            <w:tcW w:w="7854" w:type="dxa"/>
            <w:gridSpan w:val="7"/>
            <w:tcBorders>
              <w:top w:val="single" w:sz="4" w:space="0" w:color="auto"/>
              <w:left w:val="single" w:sz="4" w:space="0" w:color="auto"/>
              <w:bottom w:val="single" w:sz="4" w:space="0" w:color="auto"/>
              <w:right w:val="single" w:sz="4" w:space="0" w:color="auto"/>
            </w:tcBorders>
            <w:vAlign w:val="center"/>
          </w:tcPr>
          <w:p w14:paraId="0E1C0460" w14:textId="5F0A2468" w:rsidR="00EC41AB" w:rsidRDefault="00EC41AB">
            <w:pPr>
              <w:adjustRightInd w:val="0"/>
              <w:snapToGrid w:val="0"/>
              <w:spacing w:line="300" w:lineRule="auto"/>
              <w:rPr>
                <w:rFonts w:ascii="仿宋" w:eastAsia="仿宋" w:hAnsi="仿宋"/>
                <w:szCs w:val="21"/>
              </w:rPr>
            </w:pPr>
          </w:p>
        </w:tc>
      </w:tr>
      <w:tr w:rsidR="00EC41AB" w14:paraId="3C840B7A" w14:textId="77777777">
        <w:trPr>
          <w:trHeight w:val="1012"/>
          <w:jc w:val="center"/>
        </w:trPr>
        <w:tc>
          <w:tcPr>
            <w:tcW w:w="2010" w:type="dxa"/>
            <w:tcBorders>
              <w:top w:val="single" w:sz="4" w:space="0" w:color="auto"/>
              <w:left w:val="single" w:sz="4" w:space="0" w:color="auto"/>
              <w:bottom w:val="single" w:sz="4" w:space="0" w:color="auto"/>
              <w:right w:val="single" w:sz="4" w:space="0" w:color="auto"/>
            </w:tcBorders>
            <w:vAlign w:val="center"/>
          </w:tcPr>
          <w:p w14:paraId="370074B1" w14:textId="77777777" w:rsidR="00EC41AB" w:rsidRDefault="00000000">
            <w:pPr>
              <w:pStyle w:val="a5"/>
              <w:pBdr>
                <w:bottom w:val="none" w:sz="0" w:space="0" w:color="auto"/>
              </w:pBdr>
              <w:tabs>
                <w:tab w:val="left" w:pos="420"/>
              </w:tabs>
              <w:adjustRightInd w:val="0"/>
              <w:spacing w:line="300" w:lineRule="auto"/>
              <w:jc w:val="both"/>
              <w:rPr>
                <w:rFonts w:ascii="仿宋" w:eastAsia="仿宋" w:hAnsi="仿宋"/>
                <w:sz w:val="21"/>
                <w:szCs w:val="21"/>
              </w:rPr>
            </w:pPr>
            <w:r>
              <w:rPr>
                <w:rFonts w:ascii="仿宋" w:eastAsia="仿宋" w:hAnsi="仿宋" w:hint="eastAsia"/>
                <w:sz w:val="21"/>
                <w:szCs w:val="21"/>
              </w:rPr>
              <w:t>目的、意义或必要性</w:t>
            </w:r>
          </w:p>
        </w:tc>
        <w:tc>
          <w:tcPr>
            <w:tcW w:w="7854" w:type="dxa"/>
            <w:gridSpan w:val="7"/>
            <w:tcBorders>
              <w:top w:val="single" w:sz="4" w:space="0" w:color="auto"/>
              <w:left w:val="single" w:sz="4" w:space="0" w:color="auto"/>
              <w:bottom w:val="single" w:sz="4" w:space="0" w:color="auto"/>
              <w:right w:val="single" w:sz="4" w:space="0" w:color="auto"/>
            </w:tcBorders>
            <w:vAlign w:val="center"/>
          </w:tcPr>
          <w:p w14:paraId="27897D19" w14:textId="77777777" w:rsidR="00EC41AB" w:rsidRDefault="00000000">
            <w:pPr>
              <w:adjustRightInd w:val="0"/>
              <w:snapToGrid w:val="0"/>
              <w:spacing w:line="360" w:lineRule="auto"/>
              <w:ind w:firstLineChars="200" w:firstLine="420"/>
              <w:rPr>
                <w:rFonts w:ascii="仿宋" w:eastAsia="仿宋" w:hAnsi="仿宋" w:cs="仿宋"/>
                <w:szCs w:val="21"/>
              </w:rPr>
            </w:pPr>
            <w:r>
              <w:rPr>
                <w:rFonts w:ascii="仿宋" w:eastAsia="仿宋" w:hAnsi="仿宋" w:cs="仿宋" w:hint="eastAsia"/>
                <w:szCs w:val="21"/>
              </w:rPr>
              <w:t>“ESG” 是关注生态环境（E）、社会责任(S)、公司治理(G)综合绩效的企业评价标准和投资理念，近年来成为我国企业界和资本市场上的焦点词汇，已经引起我国各类金融机构、企业以及投资者的广泛关注，并将这一理念在具体的投资活动中加以实施。当前，我国关于ESG评价与投资的研究还处于起步阶段，对企业如何通过ESG实践促进公司高质量发展、投资机构如何将ESG因素纳入投资决策等问题的研究及应用尤其不够。畜牧行业是关乎国计民生的重要行业，其发展对发展绿色农业、促进乡村振兴等都具有重要意义。同时，畜牧业又具有高度的环境、社会外溢性，治理水平也是影响企业发展的重要因素，是ESG分行业研究的重点领域。从当前情况来看，畜牧行业的环境污染、食品安全、疫病、动物福利等问题，越来越引起公众和消费者的关注，畜牧企业发展的风险不断加大，但在是否是绿色发展、规范发展和社会责任承担等方面缺乏标准体系，资本市场投资者缺乏较好的投资衡量抓手。目前，国内ESG评价刚刚起步，针对畜牧业特殊情况的ESG评价体系还没建立起来。因此，在对畜牧业进行深入分析的基础上，探索建立符合其行业特点的ESG评价指南，对引导行业绿色、健康、持续发展，推进产融（产业和金融）结合等方面具有十分重要的理论和现实意义。</w:t>
            </w:r>
          </w:p>
          <w:p w14:paraId="6090F6E8" w14:textId="77777777" w:rsidR="00EC41AB" w:rsidRDefault="00000000">
            <w:pPr>
              <w:adjustRightInd w:val="0"/>
              <w:snapToGrid w:val="0"/>
              <w:spacing w:line="360" w:lineRule="auto"/>
              <w:ind w:firstLineChars="200" w:firstLine="422"/>
              <w:rPr>
                <w:rFonts w:ascii="仿宋" w:eastAsia="仿宋" w:hAnsi="仿宋" w:cs="仿宋"/>
                <w:szCs w:val="21"/>
              </w:rPr>
            </w:pPr>
            <w:r>
              <w:rPr>
                <w:rFonts w:ascii="仿宋" w:eastAsia="仿宋" w:hAnsi="仿宋" w:cs="仿宋" w:hint="eastAsia"/>
                <w:b/>
                <w:szCs w:val="21"/>
              </w:rPr>
              <w:t>一是引导畜牧行业规范发展。</w:t>
            </w:r>
            <w:r>
              <w:rPr>
                <w:rFonts w:ascii="仿宋" w:eastAsia="仿宋" w:hAnsi="仿宋" w:cs="仿宋" w:hint="eastAsia"/>
                <w:szCs w:val="21"/>
              </w:rPr>
              <w:t>当前国内畜牧行业面临四大问题：一是食品安全问题，部分企业在利益驱使下，使用非法添加剂，如瘦肉精事件、抗生素和农药残</w:t>
            </w:r>
            <w:r>
              <w:rPr>
                <w:rFonts w:ascii="仿宋" w:eastAsia="仿宋" w:hAnsi="仿宋" w:cs="仿宋" w:hint="eastAsia"/>
                <w:szCs w:val="21"/>
              </w:rPr>
              <w:lastRenderedPageBreak/>
              <w:t>留等；二是环保问题。部分企业缺乏环境意识，随意选址，大肆排污，造成环境事件频发，对畜牧场周边造成严重的环境污染；三是对员工缺乏必要的劳动保护。在畜牧场、屠宰场、饲料加工厂等企业内，员工在封闭环境中，连续长时间工作，对身体和心里形成很大损害；四是漠视动物福利。以经济利益为导向，将畜牧动物限制的狭小的空间内，甚至严重虐待。五是缺乏绿色发展意识。部分动物粪便没有充分利用，导致大量甲烷气体排放。</w:t>
            </w:r>
            <w:r>
              <w:rPr>
                <w:rFonts w:ascii="仿宋" w:eastAsia="仿宋" w:hAnsi="仿宋" w:cs="仿宋" w:hint="eastAsia"/>
                <w:bCs/>
                <w:szCs w:val="21"/>
              </w:rPr>
              <w:t>从行业共性问题出发，</w:t>
            </w:r>
            <w:r>
              <w:rPr>
                <w:rFonts w:ascii="仿宋" w:eastAsia="仿宋" w:hAnsi="仿宋" w:cs="仿宋" w:hint="eastAsia"/>
                <w:szCs w:val="21"/>
              </w:rPr>
              <w:t>建立和推广畜牧行业ESG评价体系，能够在微观层面积极引导畜牧企业综合考虑生态环境、股东、客户、员工和社区等各个方面利益，更加注重承担社会责任，注重绿色发展，优化畜牧标准，推进工厂化畜牧，推进产品安全可追溯，提升行业形象。</w:t>
            </w:r>
          </w:p>
          <w:p w14:paraId="345CFF6B" w14:textId="77777777" w:rsidR="00EC41AB" w:rsidRDefault="00000000">
            <w:pPr>
              <w:adjustRightInd w:val="0"/>
              <w:snapToGrid w:val="0"/>
              <w:spacing w:line="360" w:lineRule="auto"/>
              <w:ind w:firstLineChars="200" w:firstLine="422"/>
              <w:rPr>
                <w:rFonts w:ascii="仿宋" w:eastAsia="仿宋" w:hAnsi="仿宋" w:cs="仿宋"/>
                <w:szCs w:val="21"/>
              </w:rPr>
            </w:pPr>
            <w:r>
              <w:rPr>
                <w:rFonts w:ascii="仿宋" w:eastAsia="仿宋" w:hAnsi="仿宋" w:cs="仿宋" w:hint="eastAsia"/>
                <w:b/>
                <w:szCs w:val="21"/>
              </w:rPr>
              <w:t>二是推动我国畜牧行业国际化。</w:t>
            </w:r>
            <w:r>
              <w:rPr>
                <w:rFonts w:ascii="仿宋" w:eastAsia="仿宋" w:hAnsi="仿宋" w:cs="仿宋" w:hint="eastAsia"/>
                <w:szCs w:val="21"/>
              </w:rPr>
              <w:t>ESG已经成为全球资本市场投资和企业经营管理的主流理念，越来越多的国家将企业ESG纳入发展经营</w:t>
            </w:r>
            <w:proofErr w:type="gramStart"/>
            <w:r>
              <w:rPr>
                <w:rFonts w:ascii="仿宋" w:eastAsia="仿宋" w:hAnsi="仿宋" w:cs="仿宋" w:hint="eastAsia"/>
                <w:szCs w:val="21"/>
              </w:rPr>
              <w:t>考量</w:t>
            </w:r>
            <w:proofErr w:type="gramEnd"/>
            <w:r>
              <w:rPr>
                <w:rFonts w:ascii="仿宋" w:eastAsia="仿宋" w:hAnsi="仿宋" w:cs="仿宋" w:hint="eastAsia"/>
                <w:szCs w:val="21"/>
              </w:rPr>
              <w:t>范畴。截至2020年12月，全球已有近3500家机构签署PRI（联合国负责任投资原则组织），签署机构总数增幅近30%。国际市场上对畜牧行业建立了覆盖全产业链的综合评价体系，不仅仅考察出口产品的质量，而且关注劳工工作环境和保护，关注动物伦理等问题。在此情况下，以ESG为切入点，在遵守国际规则的基础上，建立适合中国国情、与国际标准接轨的畜牧行业ESG评价指南，是</w:t>
            </w:r>
            <w:r>
              <w:rPr>
                <w:rFonts w:ascii="仿宋" w:eastAsia="仿宋" w:hAnsi="仿宋" w:cs="仿宋" w:hint="eastAsia"/>
                <w:bCs/>
                <w:szCs w:val="21"/>
              </w:rPr>
              <w:t>填补国际国内行业标准空白、</w:t>
            </w:r>
            <w:r>
              <w:rPr>
                <w:rFonts w:ascii="仿宋" w:eastAsia="仿宋" w:hAnsi="仿宋" w:cs="仿宋" w:hint="eastAsia"/>
                <w:szCs w:val="21"/>
              </w:rPr>
              <w:t>增强我国畜牧企业国际话语权的“助推器”。</w:t>
            </w:r>
          </w:p>
          <w:p w14:paraId="6EBF7D3E" w14:textId="77777777" w:rsidR="00EC41AB" w:rsidRDefault="00000000">
            <w:pPr>
              <w:adjustRightInd w:val="0"/>
              <w:snapToGrid w:val="0"/>
              <w:spacing w:line="360" w:lineRule="auto"/>
              <w:ind w:firstLineChars="200" w:firstLine="422"/>
              <w:rPr>
                <w:rFonts w:ascii="仿宋" w:eastAsia="仿宋" w:hAnsi="仿宋" w:cs="仿宋"/>
                <w:szCs w:val="21"/>
              </w:rPr>
            </w:pPr>
            <w:r>
              <w:rPr>
                <w:rFonts w:ascii="仿宋" w:eastAsia="仿宋" w:hAnsi="仿宋" w:cs="仿宋" w:hint="eastAsia"/>
                <w:b/>
                <w:szCs w:val="21"/>
              </w:rPr>
              <w:t>三是为金融资本支持畜牧行业发展提供重要抓手。</w:t>
            </w:r>
            <w:r>
              <w:rPr>
                <w:rFonts w:ascii="仿宋" w:eastAsia="仿宋" w:hAnsi="仿宋" w:cs="仿宋" w:hint="eastAsia"/>
                <w:szCs w:val="21"/>
              </w:rPr>
              <w:t>建立ESG评价体系，有利于区分注重绿色发展和承担社会责任的优秀畜牧企业，引导金融机构为这类畜牧企业提供更多更好的金融支持。同时基于ESG评价，投资者可以通过了解畜牧企业的ESG绩效，评估其投资行为和企业（投资对象）在促进经济可持续发展、履行社会责任等方面的贡献，帮助投资者筛选出相对绿色的企业主体进行投资。通过建立以ESG为基础的授信机制，银行能够针对企业ESG绩效评估结果，给予不同的信贷主体与项目差异性审批流程、额度数值以及利率水平，引导更多资金流入绿色畜牧项目。</w:t>
            </w:r>
          </w:p>
          <w:p w14:paraId="43349767" w14:textId="77777777" w:rsidR="00EC41AB" w:rsidRDefault="00000000">
            <w:pPr>
              <w:adjustRightInd w:val="0"/>
              <w:snapToGrid w:val="0"/>
              <w:spacing w:line="360" w:lineRule="auto"/>
              <w:ind w:firstLineChars="200" w:firstLine="422"/>
              <w:rPr>
                <w:rFonts w:ascii="仿宋" w:eastAsia="仿宋" w:hAnsi="仿宋" w:cs="仿宋"/>
                <w:szCs w:val="21"/>
              </w:rPr>
            </w:pPr>
            <w:r>
              <w:rPr>
                <w:rFonts w:ascii="仿宋" w:eastAsia="仿宋" w:hAnsi="仿宋" w:cs="仿宋" w:hint="eastAsia"/>
                <w:b/>
                <w:bCs/>
                <w:szCs w:val="21"/>
              </w:rPr>
              <w:t>四是加强与地方政府沟通的需要。</w:t>
            </w:r>
            <w:r>
              <w:rPr>
                <w:rFonts w:ascii="仿宋" w:eastAsia="仿宋" w:hAnsi="仿宋" w:cs="仿宋" w:hint="eastAsia"/>
                <w:szCs w:val="21"/>
              </w:rPr>
              <w:t>通过建立ESG评价体系，能够系统的、定量的向畜牧项目所在地政府展示企业主体在注重绿色发展、承担社会责任、加强公司治理等方面的情况，增强互信，降低沟通成本。</w:t>
            </w:r>
          </w:p>
          <w:p w14:paraId="53A12934" w14:textId="77777777" w:rsidR="00EC41AB" w:rsidRDefault="00000000">
            <w:pPr>
              <w:adjustRightInd w:val="0"/>
              <w:snapToGrid w:val="0"/>
              <w:spacing w:line="360" w:lineRule="auto"/>
              <w:ind w:firstLineChars="200" w:firstLine="422"/>
              <w:rPr>
                <w:rFonts w:ascii="仿宋" w:eastAsia="仿宋" w:hAnsi="仿宋"/>
                <w:szCs w:val="21"/>
              </w:rPr>
            </w:pPr>
            <w:r>
              <w:rPr>
                <w:rFonts w:ascii="仿宋" w:eastAsia="仿宋" w:hAnsi="仿宋" w:cs="仿宋" w:hint="eastAsia"/>
                <w:b/>
                <w:bCs/>
                <w:szCs w:val="21"/>
              </w:rPr>
              <w:t>五是指导畜牧企业落实ESG发展理念。</w:t>
            </w:r>
            <w:r>
              <w:rPr>
                <w:rFonts w:ascii="仿宋" w:eastAsia="仿宋" w:hAnsi="仿宋" w:cs="仿宋" w:hint="eastAsia"/>
                <w:szCs w:val="21"/>
              </w:rPr>
              <w:t>起草畜牧行业ESG评价指南，能够指导行业内企业建立和完善ESG信息披露，落实ESG发展理念，树立公司绿色、负责任的公司形象，增强美誉度，提升公司品牌价值。</w:t>
            </w:r>
          </w:p>
          <w:p w14:paraId="68B6811C" w14:textId="77777777" w:rsidR="00EC41AB" w:rsidRDefault="00EC41AB">
            <w:pPr>
              <w:adjustRightInd w:val="0"/>
              <w:snapToGrid w:val="0"/>
              <w:spacing w:line="300" w:lineRule="auto"/>
              <w:rPr>
                <w:rFonts w:ascii="仿宋" w:eastAsia="仿宋" w:hAnsi="仿宋"/>
                <w:szCs w:val="21"/>
              </w:rPr>
            </w:pPr>
          </w:p>
        </w:tc>
      </w:tr>
      <w:tr w:rsidR="00EC41AB" w14:paraId="7D6319BE" w14:textId="77777777">
        <w:trPr>
          <w:trHeight w:val="746"/>
          <w:jc w:val="center"/>
        </w:trPr>
        <w:tc>
          <w:tcPr>
            <w:tcW w:w="2010" w:type="dxa"/>
            <w:tcBorders>
              <w:top w:val="single" w:sz="4" w:space="0" w:color="auto"/>
              <w:left w:val="single" w:sz="4" w:space="0" w:color="auto"/>
              <w:bottom w:val="single" w:sz="4" w:space="0" w:color="auto"/>
              <w:right w:val="single" w:sz="4" w:space="0" w:color="auto"/>
            </w:tcBorders>
            <w:vAlign w:val="center"/>
          </w:tcPr>
          <w:p w14:paraId="30B92E46" w14:textId="77777777" w:rsidR="00EC41AB" w:rsidRDefault="00000000">
            <w:pPr>
              <w:pStyle w:val="a5"/>
              <w:pBdr>
                <w:bottom w:val="none" w:sz="0" w:space="0" w:color="auto"/>
              </w:pBdr>
              <w:tabs>
                <w:tab w:val="left" w:pos="420"/>
              </w:tabs>
              <w:adjustRightInd w:val="0"/>
              <w:spacing w:line="300" w:lineRule="auto"/>
              <w:jc w:val="both"/>
              <w:rPr>
                <w:rFonts w:ascii="仿宋" w:eastAsia="仿宋" w:hAnsi="仿宋"/>
                <w:sz w:val="21"/>
                <w:szCs w:val="21"/>
              </w:rPr>
            </w:pPr>
            <w:r>
              <w:rPr>
                <w:rFonts w:ascii="仿宋" w:eastAsia="仿宋" w:hAnsi="仿宋" w:hint="eastAsia"/>
                <w:sz w:val="21"/>
                <w:szCs w:val="21"/>
              </w:rPr>
              <w:lastRenderedPageBreak/>
              <w:t>范围和主要技术内容</w:t>
            </w:r>
          </w:p>
        </w:tc>
        <w:tc>
          <w:tcPr>
            <w:tcW w:w="7854" w:type="dxa"/>
            <w:gridSpan w:val="7"/>
            <w:tcBorders>
              <w:top w:val="single" w:sz="4" w:space="0" w:color="auto"/>
              <w:left w:val="single" w:sz="4" w:space="0" w:color="auto"/>
              <w:bottom w:val="single" w:sz="4" w:space="0" w:color="auto"/>
              <w:right w:val="single" w:sz="4" w:space="0" w:color="auto"/>
            </w:tcBorders>
            <w:vAlign w:val="center"/>
          </w:tcPr>
          <w:p w14:paraId="4B30FCEF" w14:textId="77777777" w:rsidR="00EC41AB" w:rsidRDefault="00000000">
            <w:pPr>
              <w:adjustRightInd w:val="0"/>
              <w:snapToGrid w:val="0"/>
              <w:spacing w:line="300" w:lineRule="auto"/>
              <w:rPr>
                <w:rFonts w:ascii="仿宋" w:eastAsia="仿宋" w:hAnsi="仿宋"/>
                <w:szCs w:val="21"/>
              </w:rPr>
            </w:pPr>
            <w:r>
              <w:rPr>
                <w:rFonts w:ascii="仿宋" w:eastAsia="仿宋" w:hAnsi="仿宋" w:hint="eastAsia"/>
                <w:szCs w:val="21"/>
              </w:rPr>
              <w:t>1.主要适用范围：适用于所有畜牧企业，特别是上市畜牧企业，如上海证券交易所、深圳证券交易所、北京证券交易所已上市及正在申请IPO的畜牧企</w:t>
            </w:r>
            <w:r>
              <w:rPr>
                <w:rFonts w:ascii="仿宋_GB2312" w:eastAsia="仿宋_GB2312" w:hAnsi="Microsoft YaHei UI" w:cs="仿宋_GB2312" w:hint="eastAsia"/>
                <w:color w:val="000000"/>
                <w:spacing w:val="5"/>
                <w:sz w:val="24"/>
                <w:shd w:val="clear" w:color="auto" w:fill="FFFFFF"/>
              </w:rPr>
              <w:t>业</w:t>
            </w:r>
            <w:r>
              <w:rPr>
                <w:rFonts w:ascii="仿宋" w:eastAsia="仿宋" w:hAnsi="仿宋" w:hint="eastAsia"/>
                <w:szCs w:val="21"/>
              </w:rPr>
              <w:t>。</w:t>
            </w:r>
          </w:p>
          <w:p w14:paraId="31643DEF" w14:textId="77777777" w:rsidR="00EC41AB" w:rsidRDefault="00000000">
            <w:pPr>
              <w:adjustRightInd w:val="0"/>
              <w:snapToGrid w:val="0"/>
              <w:spacing w:line="300" w:lineRule="auto"/>
              <w:rPr>
                <w:rFonts w:ascii="仿宋" w:eastAsia="仿宋" w:hAnsi="仿宋"/>
                <w:szCs w:val="21"/>
              </w:rPr>
            </w:pPr>
            <w:r>
              <w:rPr>
                <w:rFonts w:ascii="仿宋" w:eastAsia="仿宋" w:hAnsi="仿宋" w:hint="eastAsia"/>
                <w:szCs w:val="21"/>
              </w:rPr>
              <w:t>2.主要技术内容包括： 标准的适用范围、规范性引用文件、术语和定义、畜牧企业</w:t>
            </w:r>
            <w:r>
              <w:rPr>
                <w:rFonts w:ascii="仿宋" w:eastAsia="仿宋" w:hAnsi="仿宋" w:hint="eastAsia"/>
                <w:szCs w:val="21"/>
              </w:rPr>
              <w:lastRenderedPageBreak/>
              <w:t xml:space="preserve">ESG评价指标体系、评分、评级等内容。 </w:t>
            </w:r>
          </w:p>
          <w:p w14:paraId="6DA8BCE2" w14:textId="77777777" w:rsidR="00EC41AB" w:rsidRDefault="00EC41AB">
            <w:pPr>
              <w:adjustRightInd w:val="0"/>
              <w:snapToGrid w:val="0"/>
              <w:spacing w:line="300" w:lineRule="auto"/>
              <w:rPr>
                <w:rFonts w:ascii="仿宋" w:eastAsia="仿宋" w:hAnsi="仿宋"/>
                <w:szCs w:val="21"/>
                <w:u w:val="single"/>
              </w:rPr>
            </w:pPr>
          </w:p>
        </w:tc>
      </w:tr>
      <w:tr w:rsidR="00EC41AB" w14:paraId="2535DE22" w14:textId="77777777">
        <w:trPr>
          <w:trHeight w:val="2851"/>
          <w:jc w:val="center"/>
        </w:trPr>
        <w:tc>
          <w:tcPr>
            <w:tcW w:w="2010" w:type="dxa"/>
            <w:tcBorders>
              <w:top w:val="single" w:sz="4" w:space="0" w:color="auto"/>
              <w:left w:val="single" w:sz="4" w:space="0" w:color="auto"/>
              <w:bottom w:val="single" w:sz="4" w:space="0" w:color="auto"/>
              <w:right w:val="single" w:sz="4" w:space="0" w:color="auto"/>
            </w:tcBorders>
            <w:vAlign w:val="center"/>
          </w:tcPr>
          <w:p w14:paraId="5DDF80BD" w14:textId="77777777" w:rsidR="00EC41AB" w:rsidRDefault="00000000">
            <w:pPr>
              <w:pStyle w:val="a5"/>
              <w:pBdr>
                <w:bottom w:val="none" w:sz="0" w:space="0" w:color="auto"/>
              </w:pBdr>
              <w:tabs>
                <w:tab w:val="left" w:pos="420"/>
              </w:tabs>
              <w:adjustRightInd w:val="0"/>
              <w:spacing w:line="300" w:lineRule="auto"/>
              <w:jc w:val="both"/>
              <w:rPr>
                <w:rFonts w:ascii="仿宋" w:eastAsia="仿宋" w:hAnsi="仿宋"/>
                <w:sz w:val="21"/>
                <w:szCs w:val="21"/>
              </w:rPr>
            </w:pPr>
            <w:r>
              <w:rPr>
                <w:rFonts w:ascii="仿宋" w:eastAsia="仿宋" w:hAnsi="仿宋" w:hint="eastAsia"/>
                <w:sz w:val="21"/>
                <w:szCs w:val="21"/>
              </w:rPr>
              <w:lastRenderedPageBreak/>
              <w:t>国内外情况说明</w:t>
            </w:r>
          </w:p>
        </w:tc>
        <w:tc>
          <w:tcPr>
            <w:tcW w:w="7854" w:type="dxa"/>
            <w:gridSpan w:val="7"/>
            <w:tcBorders>
              <w:top w:val="single" w:sz="4" w:space="0" w:color="auto"/>
              <w:left w:val="single" w:sz="4" w:space="0" w:color="auto"/>
              <w:bottom w:val="single" w:sz="4" w:space="0" w:color="auto"/>
              <w:right w:val="single" w:sz="4" w:space="0" w:color="auto"/>
            </w:tcBorders>
            <w:vAlign w:val="center"/>
          </w:tcPr>
          <w:p w14:paraId="625AB018" w14:textId="77777777" w:rsidR="00EC41AB" w:rsidRDefault="00000000">
            <w:pPr>
              <w:numPr>
                <w:ilvl w:val="0"/>
                <w:numId w:val="1"/>
              </w:numPr>
              <w:adjustRightInd w:val="0"/>
              <w:snapToGrid w:val="0"/>
              <w:spacing w:line="300" w:lineRule="auto"/>
              <w:rPr>
                <w:rFonts w:ascii="仿宋" w:eastAsia="仿宋" w:hAnsi="仿宋"/>
                <w:szCs w:val="21"/>
                <w:u w:val="single"/>
              </w:rPr>
            </w:pPr>
            <w:r>
              <w:rPr>
                <w:rFonts w:ascii="仿宋" w:eastAsia="仿宋" w:hAnsi="仿宋" w:hint="eastAsia"/>
                <w:szCs w:val="21"/>
                <w:u w:val="single"/>
              </w:rPr>
              <w:t>国内外对该技术研究情况简要说明：国内外对该技术研究的情况、进程及未来的发展；该技术是否相对稳定，如果不是的话，预计一下技术未来稳定的时间，提出的标准项目是否可作为未来技术发展的基础；</w:t>
            </w:r>
          </w:p>
          <w:p w14:paraId="4C2275F7" w14:textId="77777777" w:rsidR="00EC41AB" w:rsidRDefault="00000000">
            <w:pPr>
              <w:numPr>
                <w:ilvl w:val="0"/>
                <w:numId w:val="1"/>
              </w:numPr>
              <w:adjustRightInd w:val="0"/>
              <w:snapToGrid w:val="0"/>
              <w:spacing w:line="300" w:lineRule="auto"/>
              <w:rPr>
                <w:rFonts w:ascii="仿宋" w:eastAsia="仿宋" w:hAnsi="仿宋"/>
                <w:szCs w:val="21"/>
                <w:u w:val="single"/>
              </w:rPr>
            </w:pPr>
            <w:r>
              <w:rPr>
                <w:rFonts w:ascii="仿宋" w:eastAsia="仿宋" w:hAnsi="仿宋" w:hint="eastAsia"/>
                <w:szCs w:val="21"/>
                <w:u w:val="single"/>
              </w:rPr>
              <w:t>项目与国际标准或国外先进标准采用程度的考虑：是否有对应的国际标准或国外先进标准，如有，阐述标准项目与之对比情况，以及对采标问题的考虑；</w:t>
            </w:r>
          </w:p>
          <w:p w14:paraId="61145820" w14:textId="77777777" w:rsidR="00EC41AB" w:rsidRDefault="00000000">
            <w:pPr>
              <w:numPr>
                <w:ilvl w:val="0"/>
                <w:numId w:val="1"/>
              </w:numPr>
              <w:adjustRightInd w:val="0"/>
              <w:snapToGrid w:val="0"/>
              <w:spacing w:line="300" w:lineRule="auto"/>
              <w:rPr>
                <w:rFonts w:ascii="仿宋" w:eastAsia="仿宋" w:hAnsi="仿宋"/>
                <w:szCs w:val="21"/>
                <w:u w:val="single"/>
              </w:rPr>
            </w:pPr>
            <w:r>
              <w:rPr>
                <w:rFonts w:ascii="仿宋" w:eastAsia="仿宋" w:hAnsi="仿宋" w:hint="eastAsia"/>
                <w:szCs w:val="21"/>
                <w:u w:val="single"/>
              </w:rPr>
              <w:t>与国内相关标准间的关系：是否有相关的国家或行业标准，如有，阐述标准项目与相关标准的关系；</w:t>
            </w:r>
          </w:p>
          <w:p w14:paraId="6485A3D5" w14:textId="77777777" w:rsidR="00EC41AB" w:rsidRDefault="00000000">
            <w:pPr>
              <w:numPr>
                <w:ilvl w:val="0"/>
                <w:numId w:val="1"/>
              </w:numPr>
              <w:adjustRightInd w:val="0"/>
              <w:snapToGrid w:val="0"/>
              <w:spacing w:line="300" w:lineRule="auto"/>
              <w:rPr>
                <w:rFonts w:ascii="仿宋" w:eastAsia="仿宋" w:hAnsi="仿宋"/>
                <w:szCs w:val="21"/>
                <w:u w:val="single"/>
              </w:rPr>
            </w:pPr>
            <w:r>
              <w:rPr>
                <w:rFonts w:ascii="仿宋" w:eastAsia="仿宋" w:hAnsi="仿宋" w:hint="eastAsia"/>
                <w:szCs w:val="21"/>
                <w:u w:val="single"/>
              </w:rPr>
              <w:t>明确指出标准项目是否存在知识产权问题。</w:t>
            </w:r>
          </w:p>
          <w:p w14:paraId="75EB04E8" w14:textId="77777777" w:rsidR="00EC41AB" w:rsidRDefault="00000000">
            <w:pPr>
              <w:widowControl/>
              <w:shd w:val="clear" w:color="auto" w:fill="FFFFFF"/>
              <w:spacing w:line="360" w:lineRule="auto"/>
              <w:ind w:firstLineChars="200" w:firstLine="420"/>
              <w:jc w:val="left"/>
              <w:rPr>
                <w:rFonts w:ascii="仿宋" w:eastAsia="仿宋" w:hAnsi="仿宋" w:cs="仿宋"/>
                <w:szCs w:val="21"/>
              </w:rPr>
            </w:pPr>
            <w:r>
              <w:rPr>
                <w:rFonts w:ascii="仿宋" w:eastAsia="仿宋" w:hAnsi="仿宋" w:cs="仿宋" w:hint="eastAsia"/>
                <w:szCs w:val="21"/>
              </w:rPr>
              <w:t>2010年国际标准化组织(ISO)在正式发布《社会责任指南》(ISO26000)，明确社会责任是指组织通过透明和道德的行为，为其决策和活动对社会和环境的影响而承担的责任，并将这些行为划分为组织治理、人权、劳工实践、环境、公平运营实践、消费者问题、社区参与和发展等七大主题。</w:t>
            </w:r>
          </w:p>
          <w:p w14:paraId="54283303" w14:textId="77777777" w:rsidR="00EC41AB" w:rsidRDefault="00000000">
            <w:pPr>
              <w:widowControl/>
              <w:shd w:val="clear" w:color="auto" w:fill="FFFFFF"/>
              <w:spacing w:line="360" w:lineRule="auto"/>
              <w:ind w:firstLine="336"/>
              <w:jc w:val="left"/>
              <w:rPr>
                <w:rFonts w:ascii="仿宋" w:eastAsia="仿宋" w:hAnsi="仿宋" w:cs="仿宋"/>
                <w:szCs w:val="21"/>
              </w:rPr>
            </w:pPr>
            <w:r>
              <w:rPr>
                <w:rFonts w:ascii="仿宋" w:eastAsia="仿宋" w:hAnsi="仿宋" w:cs="仿宋" w:hint="eastAsia"/>
                <w:szCs w:val="21"/>
              </w:rPr>
              <w:t xml:space="preserve"> 全球报告倡议组织（GRI）发布了可持续发展报告指南，列明持续发展的披露指标和内容，并对指南定期评估，</w:t>
            </w:r>
            <w:proofErr w:type="gramStart"/>
            <w:r>
              <w:rPr>
                <w:rFonts w:ascii="仿宋" w:eastAsia="仿宋" w:hAnsi="仿宋" w:cs="仿宋" w:hint="eastAsia"/>
                <w:szCs w:val="21"/>
              </w:rPr>
              <w:t>供机构</w:t>
            </w:r>
            <w:proofErr w:type="gramEnd"/>
            <w:r>
              <w:rPr>
                <w:rFonts w:ascii="仿宋" w:eastAsia="仿宋" w:hAnsi="仿宋" w:cs="仿宋" w:hint="eastAsia"/>
                <w:szCs w:val="21"/>
              </w:rPr>
              <w:t>高效编制可持续发展报告。2000年第一版GRI指南（G1）发布，这是可持续性报告的第一个全球框架，之后陆续发布了更新版本G2（2002年）、G3（2006）和G4（2013）。</w:t>
            </w:r>
            <w:r>
              <w:rPr>
                <w:rStyle w:val="a9"/>
                <w:rFonts w:ascii="仿宋" w:eastAsia="仿宋" w:hAnsi="仿宋" w:cs="仿宋" w:hint="eastAsia"/>
                <w:kern w:val="2"/>
                <w:sz w:val="21"/>
                <w:szCs w:val="21"/>
              </w:rPr>
              <w:footnoteReference w:id="1"/>
            </w:r>
            <w:r>
              <w:rPr>
                <w:rFonts w:ascii="仿宋" w:eastAsia="仿宋" w:hAnsi="仿宋" w:cs="仿宋" w:hint="eastAsia"/>
                <w:szCs w:val="21"/>
              </w:rPr>
              <w:t>G4版指南保留了前期的主要原则，如内容界定原则（利益相关方包容、可持续发展背景、实质性、完整性）、报告质量原则（平衡性、可比性、准确性、及时性、清晰性、可靠性）；新增了标准披露（Standard Disclosure）部分，包括企业的常规标准（General）和分类标准（Specific）的披露；另外，新版本在可持续发展报告形势部分更强调重要性原则，鼓励发布可持续报告的企业或机构在与利益相关方沟通的基础上，可只公布那些与其核心业务有关的指标；力求促成所有企业和机构公布其经济、环境、社会和治理业绩。</w:t>
            </w:r>
            <w:r>
              <w:rPr>
                <w:rStyle w:val="a9"/>
                <w:rFonts w:ascii="仿宋" w:eastAsia="仿宋" w:hAnsi="仿宋" w:cs="仿宋" w:hint="eastAsia"/>
                <w:sz w:val="21"/>
                <w:szCs w:val="21"/>
              </w:rPr>
              <w:footnoteReference w:id="2"/>
            </w:r>
            <w:r>
              <w:rPr>
                <w:rFonts w:ascii="仿宋" w:eastAsia="仿宋" w:hAnsi="仿宋" w:cs="仿宋" w:hint="eastAsia"/>
                <w:szCs w:val="21"/>
              </w:rPr>
              <w:t>近几年，GRI从提供指南过渡到提供标准。2016年，GRI发布全球第一个可持续性报告标准——GRI标准，并不断更新相关主题标准，如新的税收（2019年）和废物（2020年）主题标准。</w:t>
            </w:r>
          </w:p>
          <w:p w14:paraId="2539E850" w14:textId="77777777" w:rsidR="00EC41AB" w:rsidRDefault="00000000">
            <w:pPr>
              <w:spacing w:line="360" w:lineRule="auto"/>
              <w:ind w:firstLineChars="200" w:firstLine="420"/>
              <w:rPr>
                <w:rFonts w:ascii="仿宋" w:eastAsia="仿宋" w:hAnsi="仿宋" w:cs="仿宋"/>
                <w:szCs w:val="21"/>
              </w:rPr>
            </w:pPr>
            <w:r>
              <w:rPr>
                <w:rFonts w:ascii="仿宋" w:eastAsia="仿宋" w:hAnsi="仿宋" w:cs="仿宋" w:hint="eastAsia"/>
                <w:szCs w:val="21"/>
              </w:rPr>
              <w:t>可持续发展会计准则委员会（SASB）2018年起陆续发布可持续会计准则。2021年6月，可持续发展会计准则委员会（SASB）与国际综合报告理事会（IIRC）正式合并为价值报告基金会（Value Reporting Foundation），该基金会提供了一整套</w:t>
            </w:r>
            <w:r>
              <w:rPr>
                <w:rFonts w:ascii="仿宋" w:eastAsia="仿宋" w:hAnsi="仿宋" w:cs="仿宋" w:hint="eastAsia"/>
                <w:szCs w:val="21"/>
              </w:rPr>
              <w:lastRenderedPageBreak/>
              <w:t>包括综合思维原则、综合报告框架和SASB标准的资源，旨在帮助企业和投资者开发对企业价值的共同理解。</w:t>
            </w:r>
          </w:p>
          <w:p w14:paraId="3991FFF5" w14:textId="77777777" w:rsidR="00EC41AB" w:rsidRDefault="00000000">
            <w:pPr>
              <w:widowControl/>
              <w:shd w:val="clear" w:color="auto" w:fill="FFFFFF"/>
              <w:spacing w:line="360" w:lineRule="auto"/>
              <w:ind w:firstLine="336"/>
              <w:jc w:val="left"/>
              <w:rPr>
                <w:rFonts w:ascii="仿宋" w:eastAsia="仿宋" w:hAnsi="仿宋" w:cs="仿宋"/>
                <w:szCs w:val="21"/>
              </w:rPr>
            </w:pPr>
            <w:r>
              <w:rPr>
                <w:rFonts w:ascii="仿宋" w:eastAsia="仿宋" w:hAnsi="仿宋" w:cs="仿宋" w:hint="eastAsia"/>
                <w:szCs w:val="21"/>
              </w:rPr>
              <w:t>气候变化相关财务信息披露工作组（TCFD，Task Force on Climate-related Financial Disclosure）发布了关于气候变化相关信息披露的建议。2015年12月，G20金融稳定委员会（FSB）牵头成立气候变化相关财务信息披露工作组，希望通过制定统一的气候变化相关信息披露框架，来促使信息更加公开透明，使企业能够了解金融系统对于气候变化的风险敞口。2017 年6月，TCFD 发布了《气候相关财务信息披露工作组建议报告》，旨在帮助公司提供更好的信息，促进气候相关披露的可用性和质量的提高，以支持知情的资本配置。TCDF的披露建议围绕四个主题领域构建：治理、战略、风险管理、指标和目标。</w:t>
            </w:r>
          </w:p>
          <w:p w14:paraId="31152B01" w14:textId="77777777" w:rsidR="00EC41AB" w:rsidRDefault="00000000">
            <w:pPr>
              <w:widowControl/>
              <w:shd w:val="clear" w:color="auto" w:fill="FFFFFF"/>
              <w:spacing w:line="360" w:lineRule="auto"/>
              <w:ind w:firstLineChars="200" w:firstLine="420"/>
              <w:jc w:val="left"/>
              <w:rPr>
                <w:rFonts w:ascii="仿宋" w:eastAsia="仿宋" w:hAnsi="仿宋" w:cs="仿宋"/>
                <w:szCs w:val="21"/>
              </w:rPr>
            </w:pPr>
            <w:r>
              <w:rPr>
                <w:rFonts w:ascii="仿宋" w:eastAsia="仿宋" w:hAnsi="仿宋" w:cs="仿宋" w:hint="eastAsia"/>
                <w:szCs w:val="21"/>
              </w:rPr>
              <w:t>2015年国家标准《社会责任指南》（GB/T36000-2015）于2016年1月1日正式实施，目的在于为组织理解社会责任并管理和实施相关活动提供指南，旨在帮助组织在遵守法律法规和基本道德规范的基础上实现更高的组织社会价值，最大限度地致力于可持续发展，适用于所有类型的组织。同时推出的国家标准还有《社会责任报告编写指南》(GB/T 36001-2015)、《社会责任绩效分类指引》(GB/T 36002-2015)。《社会责任绩效分类指引》(GB/T 36002-2015)给出了一整套基于GB/T 36000-2015的社会责任绩效分类指引，旨在为组织研究和开展社会责任绩效评价，以及进一步开发适合自身需要的社会责任绩效指标提供统一的、规范化的技术分类框架；它既不提供统一的社会责任绩效评价方法，也不规定具体的社会责任绩效判定准则，适用于所有组织，无论其规模和类型有何不同。</w:t>
            </w:r>
          </w:p>
          <w:p w14:paraId="141F8667" w14:textId="77777777" w:rsidR="00EC41AB" w:rsidRDefault="00000000">
            <w:pPr>
              <w:widowControl/>
              <w:shd w:val="clear" w:color="auto" w:fill="FFFFFF"/>
              <w:spacing w:line="360" w:lineRule="auto"/>
              <w:ind w:firstLineChars="200" w:firstLine="420"/>
              <w:jc w:val="left"/>
              <w:rPr>
                <w:rFonts w:ascii="仿宋" w:eastAsia="仿宋" w:hAnsi="仿宋" w:cs="仿宋"/>
                <w:szCs w:val="21"/>
              </w:rPr>
            </w:pPr>
            <w:r>
              <w:rPr>
                <w:rFonts w:ascii="仿宋" w:eastAsia="仿宋" w:hAnsi="仿宋" w:cs="仿宋" w:hint="eastAsia"/>
                <w:szCs w:val="21"/>
              </w:rPr>
              <w:t>上述国际和国内标准为本标准提供了基本的方法和指标设计参考，但相关国际标准在国内的应用缺乏针对性，难以完全符合中国国情及畜牧行业特点，因此，相关国际和国内文件不适用于国内畜牧企业的ESG评价。</w:t>
            </w:r>
          </w:p>
          <w:p w14:paraId="1873EA5F" w14:textId="77777777" w:rsidR="00EC41AB" w:rsidRDefault="00000000">
            <w:pPr>
              <w:widowControl/>
              <w:shd w:val="clear" w:color="auto" w:fill="FFFFFF"/>
              <w:spacing w:line="360" w:lineRule="auto"/>
              <w:ind w:firstLineChars="200" w:firstLine="420"/>
              <w:jc w:val="left"/>
              <w:rPr>
                <w:rFonts w:ascii="仿宋" w:eastAsia="仿宋" w:hAnsi="仿宋" w:cs="仿宋"/>
                <w:szCs w:val="21"/>
              </w:rPr>
            </w:pPr>
            <w:r>
              <w:rPr>
                <w:rFonts w:ascii="仿宋" w:eastAsia="仿宋" w:hAnsi="仿宋" w:cs="仿宋" w:hint="eastAsia"/>
                <w:szCs w:val="21"/>
              </w:rPr>
              <w:t>目前，在畜牧行业内，尚没有充分考虑行业特征、企业自身规模、性质等实际状况和条件的ESG评价标准，畜牧企业缺乏切实</w:t>
            </w:r>
            <w:proofErr w:type="gramStart"/>
            <w:r>
              <w:rPr>
                <w:rFonts w:ascii="仿宋" w:eastAsia="仿宋" w:hAnsi="仿宋" w:cs="仿宋" w:hint="eastAsia"/>
                <w:szCs w:val="21"/>
              </w:rPr>
              <w:t>践行</w:t>
            </w:r>
            <w:proofErr w:type="gramEnd"/>
            <w:r>
              <w:rPr>
                <w:rFonts w:ascii="仿宋" w:eastAsia="仿宋" w:hAnsi="仿宋" w:cs="仿宋" w:hint="eastAsia"/>
                <w:szCs w:val="21"/>
              </w:rPr>
              <w:t>ESG的依据，行业亦未能规范开展畜牧企业ESG评价工作。</w:t>
            </w:r>
          </w:p>
          <w:p w14:paraId="31F306E5" w14:textId="77777777" w:rsidR="00EC41AB" w:rsidRDefault="00000000">
            <w:pPr>
              <w:widowControl/>
              <w:shd w:val="clear" w:color="auto" w:fill="FFFFFF"/>
              <w:spacing w:line="360" w:lineRule="auto"/>
              <w:ind w:firstLineChars="200" w:firstLine="420"/>
              <w:jc w:val="left"/>
              <w:rPr>
                <w:rFonts w:ascii="仿宋" w:eastAsia="仿宋" w:hAnsi="仿宋" w:cs="仿宋"/>
                <w:szCs w:val="21"/>
              </w:rPr>
            </w:pPr>
            <w:hyperlink r:id="rId9" w:tgtFrame="https://www.baidu.com/_blank" w:history="1">
              <w:r>
                <w:rPr>
                  <w:rFonts w:ascii="仿宋" w:eastAsia="仿宋" w:hAnsi="仿宋" w:cs="仿宋" w:hint="eastAsia"/>
                  <w:szCs w:val="21"/>
                </w:rPr>
                <w:t>北京</w:t>
              </w:r>
              <w:proofErr w:type="gramStart"/>
              <w:r>
                <w:rPr>
                  <w:rFonts w:ascii="仿宋" w:eastAsia="仿宋" w:hAnsi="仿宋" w:cs="仿宋" w:hint="eastAsia"/>
                  <w:szCs w:val="21"/>
                </w:rPr>
                <w:t>腾景大</w:t>
              </w:r>
              <w:proofErr w:type="gramEnd"/>
              <w:r>
                <w:rPr>
                  <w:rFonts w:ascii="仿宋" w:eastAsia="仿宋" w:hAnsi="仿宋" w:cs="仿宋" w:hint="eastAsia"/>
                  <w:szCs w:val="21"/>
                </w:rPr>
                <w:t>数据应用科技研究院</w:t>
              </w:r>
            </w:hyperlink>
            <w:r>
              <w:rPr>
                <w:rFonts w:ascii="仿宋" w:eastAsia="仿宋" w:hAnsi="仿宋" w:cs="仿宋" w:hint="eastAsia"/>
                <w:szCs w:val="21"/>
              </w:rPr>
              <w:t>ESG研究团队，以原国务院发展研究中心金融所为基础，自2016年开始，与中国基金业协会联合开展上市公司ESG评价体系研究，已经形成一整套适合中国国情的ESG评价体系。该体系涵盖了国际通行的ESG评价</w:t>
            </w:r>
            <w:r>
              <w:rPr>
                <w:rFonts w:ascii="仿宋" w:eastAsia="仿宋" w:hAnsi="仿宋" w:cs="仿宋" w:hint="eastAsia"/>
                <w:szCs w:val="21"/>
              </w:rPr>
              <w:lastRenderedPageBreak/>
              <w:t>方法，包括环境评价、社会责任评价和公司治理评价三方面。具备标准起草所需的技术及人员基础，具体如下：</w:t>
            </w:r>
          </w:p>
          <w:p w14:paraId="535C4480" w14:textId="77777777" w:rsidR="00EC41AB" w:rsidRDefault="00000000">
            <w:pPr>
              <w:widowControl/>
              <w:shd w:val="clear" w:color="auto" w:fill="FFFFFF"/>
              <w:spacing w:line="360" w:lineRule="auto"/>
              <w:ind w:firstLineChars="200" w:firstLine="420"/>
              <w:jc w:val="left"/>
              <w:rPr>
                <w:rFonts w:ascii="仿宋" w:eastAsia="仿宋" w:hAnsi="仿宋" w:cs="仿宋"/>
                <w:szCs w:val="21"/>
              </w:rPr>
            </w:pPr>
            <w:r>
              <w:rPr>
                <w:rFonts w:ascii="仿宋" w:eastAsia="仿宋" w:hAnsi="仿宋" w:cs="仿宋" w:hint="eastAsia"/>
                <w:szCs w:val="21"/>
              </w:rPr>
              <w:t>（1）</w:t>
            </w:r>
            <w:hyperlink r:id="rId10" w:tgtFrame="https://www.baidu.com/_blank" w:history="1">
              <w:r>
                <w:rPr>
                  <w:rFonts w:ascii="仿宋" w:eastAsia="仿宋" w:hAnsi="仿宋" w:cs="仿宋" w:hint="eastAsia"/>
                  <w:szCs w:val="21"/>
                </w:rPr>
                <w:t>北京</w:t>
              </w:r>
              <w:proofErr w:type="gramStart"/>
              <w:r>
                <w:rPr>
                  <w:rFonts w:ascii="仿宋" w:eastAsia="仿宋" w:hAnsi="仿宋" w:cs="仿宋" w:hint="eastAsia"/>
                  <w:szCs w:val="21"/>
                </w:rPr>
                <w:t>腾景大</w:t>
              </w:r>
              <w:proofErr w:type="gramEnd"/>
              <w:r>
                <w:rPr>
                  <w:rFonts w:ascii="仿宋" w:eastAsia="仿宋" w:hAnsi="仿宋" w:cs="仿宋" w:hint="eastAsia"/>
                  <w:szCs w:val="21"/>
                </w:rPr>
                <w:t>数据应用科技研究院</w:t>
              </w:r>
            </w:hyperlink>
            <w:r>
              <w:rPr>
                <w:rFonts w:ascii="仿宋" w:eastAsia="仿宋" w:hAnsi="仿宋" w:cs="仿宋" w:hint="eastAsia"/>
                <w:szCs w:val="21"/>
              </w:rPr>
              <w:t>ESG研究团队连续4年受中国证券投资基金业协会委托，完成3期“上市公司ESG评价体系研究”课题的研究，构建了有中国特色的上市公司ESG评价体系，对全样本上市公司进行评价，并研发ESG基准指数。研究成果已出版2本书籍，《2018中国上市公司ESG评价体系研究报告》《2019中国上市公司ESG评价体系研究报告》，并发表了若干</w:t>
            </w:r>
            <w:proofErr w:type="gramStart"/>
            <w:r>
              <w:rPr>
                <w:rFonts w:ascii="仿宋" w:eastAsia="仿宋" w:hAnsi="仿宋" w:cs="仿宋" w:hint="eastAsia"/>
                <w:szCs w:val="21"/>
              </w:rPr>
              <w:t>篇研究</w:t>
            </w:r>
            <w:proofErr w:type="gramEnd"/>
            <w:r>
              <w:rPr>
                <w:rFonts w:ascii="仿宋" w:eastAsia="仿宋" w:hAnsi="仿宋" w:cs="仿宋" w:hint="eastAsia"/>
                <w:szCs w:val="21"/>
              </w:rPr>
              <w:t>报告。</w:t>
            </w:r>
          </w:p>
          <w:p w14:paraId="15BCBD04" w14:textId="77777777" w:rsidR="00EC41AB" w:rsidRDefault="00000000">
            <w:pPr>
              <w:widowControl/>
              <w:shd w:val="clear" w:color="auto" w:fill="FFFFFF"/>
              <w:spacing w:line="360" w:lineRule="auto"/>
              <w:ind w:firstLineChars="200" w:firstLine="420"/>
              <w:jc w:val="left"/>
              <w:rPr>
                <w:rFonts w:ascii="仿宋" w:eastAsia="仿宋" w:hAnsi="仿宋" w:cs="仿宋"/>
                <w:szCs w:val="21"/>
              </w:rPr>
            </w:pPr>
            <w:r>
              <w:rPr>
                <w:rFonts w:ascii="仿宋" w:eastAsia="仿宋" w:hAnsi="仿宋" w:cs="仿宋" w:hint="eastAsia"/>
                <w:szCs w:val="21"/>
              </w:rPr>
              <w:t>（2）</w:t>
            </w:r>
            <w:hyperlink r:id="rId11" w:tgtFrame="https://www.baidu.com/_blank" w:history="1">
              <w:r>
                <w:rPr>
                  <w:rFonts w:ascii="仿宋" w:eastAsia="仿宋" w:hAnsi="仿宋" w:cs="仿宋" w:hint="eastAsia"/>
                  <w:szCs w:val="21"/>
                </w:rPr>
                <w:t>北京</w:t>
              </w:r>
              <w:proofErr w:type="gramStart"/>
              <w:r>
                <w:rPr>
                  <w:rFonts w:ascii="仿宋" w:eastAsia="仿宋" w:hAnsi="仿宋" w:cs="仿宋" w:hint="eastAsia"/>
                  <w:szCs w:val="21"/>
                </w:rPr>
                <w:t>腾景大</w:t>
              </w:r>
              <w:proofErr w:type="gramEnd"/>
              <w:r>
                <w:rPr>
                  <w:rFonts w:ascii="仿宋" w:eastAsia="仿宋" w:hAnsi="仿宋" w:cs="仿宋" w:hint="eastAsia"/>
                  <w:szCs w:val="21"/>
                </w:rPr>
                <w:t>数据应用科技研究院</w:t>
              </w:r>
            </w:hyperlink>
            <w:r>
              <w:rPr>
                <w:rFonts w:ascii="仿宋" w:eastAsia="仿宋" w:hAnsi="仿宋" w:cs="仿宋" w:hint="eastAsia"/>
                <w:szCs w:val="21"/>
              </w:rPr>
              <w:t>ESG研究团队长期从事绿色金融的研究，研究成果丰富，包括主持国际可持续发展研究院委托课题，“中国绿色金融体系研究”，出版《中国绿色金融：经验、路径与国际借鉴》，“发展中国绿色金融的逻辑与框架”，“绿色金融——区域金融合作的新切入点”等。</w:t>
            </w:r>
          </w:p>
          <w:p w14:paraId="04AC061E" w14:textId="77777777" w:rsidR="00EC41AB" w:rsidRDefault="00000000">
            <w:pPr>
              <w:widowControl/>
              <w:shd w:val="clear" w:color="auto" w:fill="FFFFFF"/>
              <w:spacing w:line="360" w:lineRule="auto"/>
              <w:ind w:firstLineChars="200" w:firstLine="420"/>
              <w:jc w:val="left"/>
              <w:rPr>
                <w:rFonts w:ascii="仿宋" w:eastAsia="仿宋" w:hAnsi="仿宋" w:cs="仿宋"/>
                <w:szCs w:val="21"/>
              </w:rPr>
            </w:pPr>
            <w:r>
              <w:rPr>
                <w:rFonts w:ascii="仿宋" w:eastAsia="仿宋" w:hAnsi="仿宋" w:cs="仿宋" w:hint="eastAsia"/>
                <w:szCs w:val="21"/>
              </w:rPr>
              <w:t>（3）</w:t>
            </w:r>
            <w:hyperlink r:id="rId12" w:tgtFrame="https://www.baidu.com/_blank" w:history="1">
              <w:r>
                <w:rPr>
                  <w:rFonts w:ascii="仿宋" w:eastAsia="仿宋" w:hAnsi="仿宋" w:cs="仿宋" w:hint="eastAsia"/>
                  <w:szCs w:val="21"/>
                </w:rPr>
                <w:t>北京</w:t>
              </w:r>
              <w:proofErr w:type="gramStart"/>
              <w:r>
                <w:rPr>
                  <w:rFonts w:ascii="仿宋" w:eastAsia="仿宋" w:hAnsi="仿宋" w:cs="仿宋" w:hint="eastAsia"/>
                  <w:szCs w:val="21"/>
                </w:rPr>
                <w:t>腾景大</w:t>
              </w:r>
              <w:proofErr w:type="gramEnd"/>
              <w:r>
                <w:rPr>
                  <w:rFonts w:ascii="仿宋" w:eastAsia="仿宋" w:hAnsi="仿宋" w:cs="仿宋" w:hint="eastAsia"/>
                  <w:szCs w:val="21"/>
                </w:rPr>
                <w:t>数据应用科技研究院</w:t>
              </w:r>
            </w:hyperlink>
            <w:r>
              <w:rPr>
                <w:rFonts w:ascii="仿宋" w:eastAsia="仿宋" w:hAnsi="仿宋" w:cs="仿宋" w:hint="eastAsia"/>
                <w:szCs w:val="21"/>
              </w:rPr>
              <w:t>ESG研究团队负责人张承惠所长具有很强的研究能力、丰富的政策研究经验以及组织研究队伍的能力，主持多项国家和部委的研究项目，所主持的研究项目多次获得不同级别的奖励。粗略统计，2010年以来，共有23篇内部研究报告累计获得中央领导53次批示。</w:t>
            </w:r>
          </w:p>
          <w:p w14:paraId="56736133" w14:textId="77777777" w:rsidR="00EC41AB" w:rsidRDefault="00000000">
            <w:pPr>
              <w:widowControl/>
              <w:shd w:val="clear" w:color="auto" w:fill="FFFFFF"/>
              <w:spacing w:line="360" w:lineRule="auto"/>
              <w:ind w:firstLineChars="200" w:firstLine="420"/>
              <w:jc w:val="left"/>
              <w:rPr>
                <w:rFonts w:ascii="仿宋" w:eastAsia="仿宋" w:hAnsi="仿宋" w:cs="仿宋"/>
                <w:szCs w:val="21"/>
              </w:rPr>
            </w:pPr>
            <w:r>
              <w:rPr>
                <w:rFonts w:ascii="仿宋" w:eastAsia="仿宋" w:hAnsi="仿宋" w:cs="仿宋" w:hint="eastAsia"/>
                <w:szCs w:val="21"/>
              </w:rPr>
              <w:t>（4）</w:t>
            </w:r>
            <w:hyperlink r:id="rId13" w:tgtFrame="https://www.baidu.com/_blank" w:history="1">
              <w:r>
                <w:rPr>
                  <w:rFonts w:ascii="仿宋" w:eastAsia="仿宋" w:hAnsi="仿宋" w:cs="仿宋" w:hint="eastAsia"/>
                  <w:szCs w:val="21"/>
                </w:rPr>
                <w:t>北京</w:t>
              </w:r>
              <w:proofErr w:type="gramStart"/>
              <w:r>
                <w:rPr>
                  <w:rFonts w:ascii="仿宋" w:eastAsia="仿宋" w:hAnsi="仿宋" w:cs="仿宋" w:hint="eastAsia"/>
                  <w:szCs w:val="21"/>
                </w:rPr>
                <w:t>腾景大</w:t>
              </w:r>
              <w:proofErr w:type="gramEnd"/>
              <w:r>
                <w:rPr>
                  <w:rFonts w:ascii="仿宋" w:eastAsia="仿宋" w:hAnsi="仿宋" w:cs="仿宋" w:hint="eastAsia"/>
                  <w:szCs w:val="21"/>
                </w:rPr>
                <w:t>数据应用科技研究院</w:t>
              </w:r>
            </w:hyperlink>
            <w:r>
              <w:rPr>
                <w:rFonts w:ascii="仿宋" w:eastAsia="仿宋" w:hAnsi="仿宋" w:cs="仿宋" w:hint="eastAsia"/>
                <w:szCs w:val="21"/>
              </w:rPr>
              <w:t>ESG研究团队成员精干、人数合理、精力充沛，在以往的工作中与国内的金融界、监管部门等建立了良好的合作关系。项目组成员由经济学、金融学、统计学、计算机科学与技术等不同专业背景人员组成，在金融政策、绿色金融、金融监管、数据建模等领域有较强的研究能力，并参与多项ESG课题的研究，有丰富的研究经验，适合本项目学科交叉特点，并且分工合理。</w:t>
            </w:r>
          </w:p>
          <w:p w14:paraId="2364B320" w14:textId="77777777" w:rsidR="00EC41AB" w:rsidRDefault="00000000">
            <w:pPr>
              <w:widowControl/>
              <w:shd w:val="clear" w:color="auto" w:fill="FFFFFF"/>
              <w:spacing w:line="360" w:lineRule="auto"/>
              <w:ind w:firstLineChars="200" w:firstLine="420"/>
              <w:jc w:val="left"/>
              <w:rPr>
                <w:rFonts w:ascii="仿宋" w:eastAsia="仿宋" w:hAnsi="仿宋" w:cs="仿宋"/>
                <w:szCs w:val="21"/>
              </w:rPr>
            </w:pPr>
            <w:r>
              <w:rPr>
                <w:rFonts w:ascii="仿宋" w:eastAsia="仿宋" w:hAnsi="仿宋" w:cs="仿宋" w:hint="eastAsia"/>
                <w:szCs w:val="21"/>
              </w:rPr>
              <w:t>与此同时，大北农集团具有丰富的行业经验，拥有从事育种、养殖技术、饲料生产技术、粪污处理、疫病防控等方面的专家，对养殖行业具有深刻的理解；且大北农集团与国内养殖企业、科研单位具有良好的合作关系，大北农旗下的农信互联是农业大数据采集分析使用的专业公司，可为本项目提供必要的数据支撑，有利于将行业特色更好地体现在ESG评价中。</w:t>
            </w:r>
          </w:p>
          <w:p w14:paraId="6938A50B" w14:textId="77777777" w:rsidR="00EC41AB" w:rsidRDefault="00000000">
            <w:pPr>
              <w:widowControl/>
              <w:shd w:val="clear" w:color="auto" w:fill="FFFFFF"/>
              <w:spacing w:line="360" w:lineRule="auto"/>
              <w:ind w:firstLineChars="200" w:firstLine="420"/>
              <w:jc w:val="left"/>
              <w:rPr>
                <w:rFonts w:ascii="宋体" w:hAnsi="宋体" w:cs="宋体"/>
                <w:sz w:val="24"/>
              </w:rPr>
            </w:pPr>
            <w:r>
              <w:rPr>
                <w:rFonts w:ascii="仿宋" w:eastAsia="仿宋" w:hAnsi="仿宋" w:cs="仿宋" w:hint="eastAsia"/>
                <w:szCs w:val="21"/>
              </w:rPr>
              <w:t>中国畜牧业协会作为中国畜牧行业国家级协会，始终围绕行业热点、难点、焦点问题和国家畜牧业中心工作 ，以为会员服务为宗旨，以市场为导向，以信息化服务、搭建行业交易合作平台为手段，推动畜牧业健康可持续发展，</w:t>
            </w:r>
            <w:r>
              <w:rPr>
                <w:rFonts w:ascii="仿宋" w:eastAsia="仿宋" w:hAnsi="仿宋" w:hint="eastAsia"/>
                <w:szCs w:val="21"/>
              </w:rPr>
              <w:t>能为本项目提供信息数据、行业政策等方面的指导及支持。</w:t>
            </w:r>
          </w:p>
          <w:p w14:paraId="3D208FB5" w14:textId="77777777" w:rsidR="00EC41AB" w:rsidRDefault="00000000">
            <w:pPr>
              <w:adjustRightInd w:val="0"/>
              <w:snapToGrid w:val="0"/>
              <w:spacing w:line="360" w:lineRule="auto"/>
              <w:ind w:firstLineChars="200" w:firstLine="420"/>
              <w:rPr>
                <w:rFonts w:ascii="仿宋" w:eastAsia="仿宋" w:hAnsi="仿宋" w:cs="仿宋"/>
                <w:szCs w:val="21"/>
              </w:rPr>
            </w:pPr>
            <w:r>
              <w:rPr>
                <w:rFonts w:ascii="仿宋" w:eastAsia="仿宋" w:hAnsi="仿宋" w:cs="仿宋" w:hint="eastAsia"/>
                <w:szCs w:val="21"/>
              </w:rPr>
              <w:lastRenderedPageBreak/>
              <w:t>本标准项目不存在知识产权问题。</w:t>
            </w:r>
          </w:p>
        </w:tc>
      </w:tr>
      <w:tr w:rsidR="00EC41AB" w14:paraId="5EA5C547" w14:textId="77777777">
        <w:trPr>
          <w:trHeight w:val="1273"/>
          <w:jc w:val="center"/>
        </w:trPr>
        <w:tc>
          <w:tcPr>
            <w:tcW w:w="2010" w:type="dxa"/>
            <w:tcBorders>
              <w:top w:val="single" w:sz="4" w:space="0" w:color="auto"/>
              <w:left w:val="single" w:sz="4" w:space="0" w:color="auto"/>
              <w:bottom w:val="single" w:sz="4" w:space="0" w:color="auto"/>
              <w:right w:val="single" w:sz="4" w:space="0" w:color="auto"/>
            </w:tcBorders>
            <w:vAlign w:val="center"/>
          </w:tcPr>
          <w:p w14:paraId="1E978DDA" w14:textId="77777777" w:rsidR="00EC41AB" w:rsidRDefault="00000000">
            <w:pPr>
              <w:adjustRightInd w:val="0"/>
              <w:snapToGrid w:val="0"/>
              <w:spacing w:line="300" w:lineRule="auto"/>
              <w:rPr>
                <w:rFonts w:ascii="仿宋" w:eastAsia="仿宋" w:hAnsi="仿宋"/>
                <w:szCs w:val="21"/>
              </w:rPr>
            </w:pPr>
            <w:r>
              <w:rPr>
                <w:rFonts w:ascii="仿宋" w:eastAsia="仿宋" w:hAnsi="仿宋" w:hint="eastAsia"/>
                <w:szCs w:val="21"/>
              </w:rPr>
              <w:lastRenderedPageBreak/>
              <w:t>标准起草牵头单位</w:t>
            </w:r>
          </w:p>
        </w:tc>
        <w:tc>
          <w:tcPr>
            <w:tcW w:w="7854" w:type="dxa"/>
            <w:gridSpan w:val="7"/>
            <w:tcBorders>
              <w:top w:val="single" w:sz="4" w:space="0" w:color="auto"/>
              <w:left w:val="single" w:sz="4" w:space="0" w:color="auto"/>
              <w:bottom w:val="single" w:sz="4" w:space="0" w:color="auto"/>
              <w:right w:val="single" w:sz="4" w:space="0" w:color="auto"/>
            </w:tcBorders>
            <w:vAlign w:val="center"/>
          </w:tcPr>
          <w:p w14:paraId="3729B352" w14:textId="77777777" w:rsidR="00EC41AB" w:rsidRDefault="00EC41AB">
            <w:pPr>
              <w:adjustRightInd w:val="0"/>
              <w:snapToGrid w:val="0"/>
              <w:spacing w:line="300" w:lineRule="auto"/>
              <w:rPr>
                <w:rFonts w:ascii="仿宋" w:eastAsia="仿宋" w:hAnsi="仿宋"/>
                <w:sz w:val="20"/>
                <w:szCs w:val="20"/>
              </w:rPr>
            </w:pPr>
          </w:p>
          <w:p w14:paraId="55D1236F" w14:textId="77777777" w:rsidR="00EC41AB" w:rsidRDefault="00000000">
            <w:pPr>
              <w:adjustRightInd w:val="0"/>
              <w:snapToGrid w:val="0"/>
              <w:spacing w:line="300" w:lineRule="auto"/>
              <w:rPr>
                <w:rFonts w:ascii="仿宋" w:eastAsia="仿宋" w:hAnsi="仿宋"/>
              </w:rPr>
            </w:pPr>
            <w:r>
              <w:rPr>
                <w:rFonts w:ascii="仿宋" w:eastAsia="仿宋" w:hAnsi="仿宋" w:hint="eastAsia"/>
              </w:rPr>
              <w:t>单位名称：</w:t>
            </w:r>
          </w:p>
          <w:p w14:paraId="53494093" w14:textId="77777777" w:rsidR="00EC41AB" w:rsidRDefault="00EC41AB">
            <w:pPr>
              <w:adjustRightInd w:val="0"/>
              <w:snapToGrid w:val="0"/>
              <w:spacing w:line="300" w:lineRule="auto"/>
              <w:rPr>
                <w:rFonts w:ascii="仿宋" w:eastAsia="仿宋" w:hAnsi="仿宋"/>
                <w:sz w:val="20"/>
                <w:szCs w:val="20"/>
              </w:rPr>
            </w:pPr>
          </w:p>
          <w:p w14:paraId="3C3F2CC8" w14:textId="77777777" w:rsidR="00EC41AB" w:rsidRDefault="00000000">
            <w:pPr>
              <w:adjustRightInd w:val="0"/>
              <w:snapToGrid w:val="0"/>
              <w:spacing w:line="300" w:lineRule="auto"/>
              <w:rPr>
                <w:rFonts w:ascii="仿宋" w:eastAsia="仿宋" w:hAnsi="仿宋"/>
              </w:rPr>
            </w:pPr>
            <w:r>
              <w:rPr>
                <w:rFonts w:ascii="仿宋" w:eastAsia="仿宋" w:hAnsi="仿宋" w:hint="eastAsia"/>
              </w:rPr>
              <w:t>负责人：</w:t>
            </w:r>
            <w:r>
              <w:rPr>
                <w:rFonts w:ascii="仿宋" w:eastAsia="仿宋" w:hAnsi="仿宋"/>
              </w:rPr>
              <w:t xml:space="preserve">                        </w:t>
            </w:r>
            <w:r>
              <w:rPr>
                <w:rFonts w:ascii="仿宋" w:eastAsia="仿宋" w:hAnsi="仿宋" w:hint="eastAsia"/>
              </w:rPr>
              <w:t>（签名、盖公章）</w:t>
            </w:r>
            <w:r>
              <w:rPr>
                <w:rFonts w:ascii="仿宋" w:eastAsia="仿宋" w:hAnsi="仿宋"/>
              </w:rPr>
              <w:t xml:space="preserve">       </w:t>
            </w:r>
            <w:r>
              <w:rPr>
                <w:rFonts w:ascii="仿宋" w:eastAsia="仿宋" w:hAnsi="仿宋" w:hint="eastAsia"/>
              </w:rPr>
              <w:t>年</w:t>
            </w:r>
            <w:r>
              <w:rPr>
                <w:rFonts w:ascii="仿宋" w:eastAsia="仿宋" w:hAnsi="仿宋"/>
              </w:rPr>
              <w:t xml:space="preserve">    </w:t>
            </w:r>
            <w:r>
              <w:rPr>
                <w:rFonts w:ascii="仿宋" w:eastAsia="仿宋" w:hAnsi="仿宋" w:hint="eastAsia"/>
              </w:rPr>
              <w:t>月</w:t>
            </w:r>
            <w:r>
              <w:rPr>
                <w:rFonts w:ascii="仿宋" w:eastAsia="仿宋" w:hAnsi="仿宋"/>
              </w:rPr>
              <w:t xml:space="preserve">    </w:t>
            </w:r>
            <w:r>
              <w:rPr>
                <w:rFonts w:ascii="仿宋" w:eastAsia="仿宋" w:hAnsi="仿宋" w:hint="eastAsia"/>
              </w:rPr>
              <w:t>日</w:t>
            </w:r>
          </w:p>
        </w:tc>
      </w:tr>
      <w:tr w:rsidR="00EC41AB" w14:paraId="63DF82FE" w14:textId="77777777">
        <w:trPr>
          <w:trHeight w:val="547"/>
          <w:jc w:val="center"/>
        </w:trPr>
        <w:tc>
          <w:tcPr>
            <w:tcW w:w="2010" w:type="dxa"/>
            <w:tcBorders>
              <w:top w:val="single" w:sz="4" w:space="0" w:color="auto"/>
              <w:left w:val="single" w:sz="4" w:space="0" w:color="auto"/>
              <w:bottom w:val="single" w:sz="4" w:space="0" w:color="auto"/>
              <w:right w:val="single" w:sz="4" w:space="0" w:color="auto"/>
            </w:tcBorders>
            <w:vAlign w:val="center"/>
          </w:tcPr>
          <w:p w14:paraId="188E1FB8" w14:textId="77777777" w:rsidR="00EC41AB" w:rsidRDefault="00000000">
            <w:pPr>
              <w:adjustRightInd w:val="0"/>
              <w:snapToGrid w:val="0"/>
              <w:spacing w:line="300" w:lineRule="auto"/>
              <w:rPr>
                <w:rFonts w:ascii="仿宋" w:eastAsia="仿宋" w:hAnsi="仿宋"/>
                <w:szCs w:val="21"/>
              </w:rPr>
            </w:pPr>
            <w:r>
              <w:rPr>
                <w:rFonts w:ascii="仿宋" w:eastAsia="仿宋" w:hAnsi="仿宋" w:hint="eastAsia"/>
                <w:szCs w:val="21"/>
              </w:rPr>
              <w:t>专家</w:t>
            </w:r>
            <w:proofErr w:type="gramStart"/>
            <w:r>
              <w:rPr>
                <w:rFonts w:ascii="仿宋" w:eastAsia="仿宋" w:hAnsi="仿宋" w:hint="eastAsia"/>
                <w:szCs w:val="21"/>
              </w:rPr>
              <w:t>库意见</w:t>
            </w:r>
            <w:proofErr w:type="gramEnd"/>
          </w:p>
        </w:tc>
        <w:tc>
          <w:tcPr>
            <w:tcW w:w="7854" w:type="dxa"/>
            <w:gridSpan w:val="7"/>
            <w:tcBorders>
              <w:top w:val="single" w:sz="4" w:space="0" w:color="auto"/>
              <w:left w:val="single" w:sz="4" w:space="0" w:color="auto"/>
              <w:bottom w:val="single" w:sz="4" w:space="0" w:color="auto"/>
              <w:right w:val="single" w:sz="4" w:space="0" w:color="auto"/>
            </w:tcBorders>
            <w:vAlign w:val="center"/>
          </w:tcPr>
          <w:p w14:paraId="1F63910A" w14:textId="77777777" w:rsidR="00EC41AB" w:rsidRDefault="00000000">
            <w:pPr>
              <w:adjustRightInd w:val="0"/>
              <w:snapToGrid w:val="0"/>
              <w:spacing w:line="300" w:lineRule="auto"/>
              <w:rPr>
                <w:rFonts w:ascii="仿宋" w:eastAsia="仿宋" w:hAnsi="仿宋"/>
                <w:sz w:val="20"/>
                <w:szCs w:val="20"/>
              </w:rPr>
            </w:pPr>
            <w:r>
              <w:rPr>
                <w:rFonts w:ascii="仿宋" w:eastAsia="仿宋" w:hAnsi="仿宋" w:hint="eastAsia"/>
                <w:sz w:val="20"/>
                <w:szCs w:val="20"/>
              </w:rPr>
              <w:t xml:space="preserve">                                                    </w:t>
            </w:r>
          </w:p>
          <w:p w14:paraId="49BFF324" w14:textId="77777777" w:rsidR="00EC41AB" w:rsidRDefault="00000000">
            <w:pPr>
              <w:adjustRightInd w:val="0"/>
              <w:snapToGrid w:val="0"/>
              <w:spacing w:line="300" w:lineRule="auto"/>
              <w:ind w:firstLineChars="2000" w:firstLine="4000"/>
              <w:rPr>
                <w:rFonts w:ascii="仿宋" w:eastAsia="仿宋" w:hAnsi="仿宋"/>
                <w:sz w:val="20"/>
                <w:szCs w:val="20"/>
              </w:rPr>
            </w:pPr>
            <w:r>
              <w:rPr>
                <w:rFonts w:ascii="仿宋" w:eastAsia="仿宋" w:hAnsi="仿宋" w:hint="eastAsia"/>
                <w:sz w:val="20"/>
                <w:szCs w:val="20"/>
              </w:rPr>
              <w:t xml:space="preserve">主任：            </w:t>
            </w:r>
            <w:r>
              <w:rPr>
                <w:rFonts w:ascii="仿宋" w:eastAsia="仿宋" w:hAnsi="仿宋" w:hint="eastAsia"/>
              </w:rPr>
              <w:t>年</w:t>
            </w:r>
            <w:r>
              <w:rPr>
                <w:rFonts w:ascii="仿宋" w:eastAsia="仿宋" w:hAnsi="仿宋"/>
              </w:rPr>
              <w:t xml:space="preserve">    </w:t>
            </w:r>
            <w:r>
              <w:rPr>
                <w:rFonts w:ascii="仿宋" w:eastAsia="仿宋" w:hAnsi="仿宋" w:hint="eastAsia"/>
              </w:rPr>
              <w:t>月</w:t>
            </w:r>
            <w:r>
              <w:rPr>
                <w:rFonts w:ascii="仿宋" w:eastAsia="仿宋" w:hAnsi="仿宋"/>
              </w:rPr>
              <w:t xml:space="preserve">    </w:t>
            </w:r>
            <w:r>
              <w:rPr>
                <w:rFonts w:ascii="仿宋" w:eastAsia="仿宋" w:hAnsi="仿宋" w:hint="eastAsia"/>
              </w:rPr>
              <w:t>日</w:t>
            </w:r>
          </w:p>
        </w:tc>
      </w:tr>
    </w:tbl>
    <w:p w14:paraId="10B13F17" w14:textId="77777777" w:rsidR="00EC41AB" w:rsidRDefault="00000000">
      <w:pPr>
        <w:adjustRightInd w:val="0"/>
        <w:snapToGrid w:val="0"/>
        <w:spacing w:beforeLines="50" w:before="156" w:line="300" w:lineRule="auto"/>
        <w:ind w:firstLine="504"/>
        <w:rPr>
          <w:rFonts w:ascii="仿宋" w:eastAsia="仿宋" w:hAnsi="仿宋"/>
          <w:sz w:val="18"/>
        </w:rPr>
      </w:pPr>
      <w:r>
        <w:rPr>
          <w:rFonts w:ascii="仿宋" w:eastAsia="仿宋" w:hAnsi="仿宋"/>
          <w:sz w:val="18"/>
        </w:rPr>
        <w:t>[</w:t>
      </w:r>
      <w:r>
        <w:rPr>
          <w:rFonts w:ascii="仿宋" w:eastAsia="仿宋" w:hAnsi="仿宋" w:hint="eastAsia"/>
          <w:sz w:val="18"/>
        </w:rPr>
        <w:t>注</w:t>
      </w:r>
      <w:r>
        <w:rPr>
          <w:rFonts w:ascii="仿宋" w:eastAsia="仿宋" w:hAnsi="仿宋"/>
          <w:sz w:val="18"/>
        </w:rPr>
        <w:t xml:space="preserve">1]  </w:t>
      </w:r>
      <w:r>
        <w:rPr>
          <w:rFonts w:ascii="仿宋" w:eastAsia="仿宋" w:hAnsi="仿宋" w:hint="eastAsia"/>
          <w:sz w:val="18"/>
        </w:rPr>
        <w:t>填写制定或修订项目中，若选择修订则必须填写被修订标准编号；</w:t>
      </w:r>
      <w:r>
        <w:rPr>
          <w:rFonts w:ascii="仿宋" w:eastAsia="仿宋" w:hAnsi="仿宋"/>
          <w:sz w:val="18"/>
        </w:rPr>
        <w:t xml:space="preserve"> </w:t>
      </w:r>
    </w:p>
    <w:p w14:paraId="7ACE0FA5" w14:textId="77777777" w:rsidR="00EC41AB" w:rsidRDefault="00000000">
      <w:pPr>
        <w:adjustRightInd w:val="0"/>
        <w:snapToGrid w:val="0"/>
        <w:spacing w:line="300" w:lineRule="auto"/>
        <w:ind w:firstLine="504"/>
        <w:rPr>
          <w:rFonts w:ascii="仿宋" w:eastAsia="仿宋" w:hAnsi="仿宋"/>
          <w:sz w:val="18"/>
        </w:rPr>
      </w:pPr>
      <w:r>
        <w:rPr>
          <w:rFonts w:ascii="仿宋" w:eastAsia="仿宋" w:hAnsi="仿宋"/>
          <w:sz w:val="18"/>
        </w:rPr>
        <w:t>[</w:t>
      </w:r>
      <w:r>
        <w:rPr>
          <w:rFonts w:ascii="仿宋" w:eastAsia="仿宋" w:hAnsi="仿宋" w:hint="eastAsia"/>
          <w:sz w:val="18"/>
        </w:rPr>
        <w:t>注</w:t>
      </w:r>
      <w:r>
        <w:rPr>
          <w:rFonts w:ascii="仿宋" w:eastAsia="仿宋" w:hAnsi="仿宋"/>
          <w:sz w:val="18"/>
        </w:rPr>
        <w:t>2]</w:t>
      </w:r>
      <w:r>
        <w:rPr>
          <w:rFonts w:ascii="仿宋" w:eastAsia="仿宋" w:hAnsi="仿宋" w:hint="eastAsia"/>
          <w:sz w:val="18"/>
        </w:rPr>
        <w:t xml:space="preserve">  填写是否有</w:t>
      </w:r>
      <w:r>
        <w:rPr>
          <w:rFonts w:ascii="仿宋" w:eastAsia="仿宋" w:hAnsi="仿宋" w:hint="eastAsia"/>
          <w:sz w:val="18"/>
          <w:szCs w:val="18"/>
        </w:rPr>
        <w:t>对应国家标准或行业标准，若选择有则</w:t>
      </w:r>
      <w:r>
        <w:rPr>
          <w:rFonts w:ascii="仿宋" w:eastAsia="仿宋" w:hAnsi="仿宋" w:hint="eastAsia"/>
          <w:sz w:val="18"/>
        </w:rPr>
        <w:t>必须填写对应国家标准或行业标准编号；</w:t>
      </w:r>
      <w:r>
        <w:rPr>
          <w:rFonts w:ascii="仿宋" w:eastAsia="仿宋" w:hAnsi="仿宋"/>
          <w:sz w:val="18"/>
        </w:rPr>
        <w:t xml:space="preserve"> </w:t>
      </w:r>
    </w:p>
    <w:p w14:paraId="4E3B3948" w14:textId="77777777" w:rsidR="00EC41AB" w:rsidRDefault="00000000">
      <w:pPr>
        <w:adjustRightInd w:val="0"/>
        <w:snapToGrid w:val="0"/>
        <w:spacing w:line="300" w:lineRule="auto"/>
        <w:ind w:firstLine="504"/>
        <w:rPr>
          <w:rFonts w:ascii="仿宋" w:eastAsia="仿宋" w:hAnsi="仿宋"/>
          <w:sz w:val="18"/>
        </w:rPr>
      </w:pPr>
      <w:r>
        <w:rPr>
          <w:rFonts w:ascii="仿宋" w:eastAsia="仿宋" w:hAnsi="仿宋"/>
          <w:sz w:val="18"/>
        </w:rPr>
        <w:t>[</w:t>
      </w:r>
      <w:r>
        <w:rPr>
          <w:rFonts w:ascii="仿宋" w:eastAsia="仿宋" w:hAnsi="仿宋" w:hint="eastAsia"/>
          <w:sz w:val="18"/>
        </w:rPr>
        <w:t>注3</w:t>
      </w:r>
      <w:r>
        <w:rPr>
          <w:rFonts w:ascii="仿宋" w:eastAsia="仿宋" w:hAnsi="仿宋"/>
          <w:sz w:val="18"/>
        </w:rPr>
        <w:t xml:space="preserve">]  </w:t>
      </w:r>
      <w:r>
        <w:rPr>
          <w:rFonts w:ascii="仿宋" w:eastAsia="仿宋" w:hAnsi="仿宋" w:hint="eastAsia"/>
          <w:sz w:val="18"/>
        </w:rPr>
        <w:t>选择采用国际标准或国外先进标准，必须填写采标编号及采用程度；</w:t>
      </w:r>
    </w:p>
    <w:p w14:paraId="5111613D" w14:textId="77777777" w:rsidR="00EC41AB" w:rsidRDefault="00000000">
      <w:pPr>
        <w:adjustRightInd w:val="0"/>
        <w:snapToGrid w:val="0"/>
        <w:spacing w:line="300" w:lineRule="auto"/>
        <w:ind w:firstLineChars="280" w:firstLine="504"/>
        <w:rPr>
          <w:rFonts w:ascii="仿宋" w:eastAsia="仿宋" w:hAnsi="仿宋"/>
          <w:sz w:val="18"/>
        </w:rPr>
      </w:pPr>
      <w:r>
        <w:rPr>
          <w:rFonts w:ascii="仿宋" w:eastAsia="仿宋" w:hAnsi="仿宋"/>
          <w:sz w:val="18"/>
        </w:rPr>
        <w:t>[</w:t>
      </w:r>
      <w:r>
        <w:rPr>
          <w:rFonts w:ascii="仿宋" w:eastAsia="仿宋" w:hAnsi="仿宋" w:hint="eastAsia"/>
          <w:sz w:val="18"/>
        </w:rPr>
        <w:t>注4</w:t>
      </w:r>
      <w:r>
        <w:rPr>
          <w:rFonts w:ascii="仿宋" w:eastAsia="仿宋" w:hAnsi="仿宋"/>
          <w:sz w:val="18"/>
        </w:rPr>
        <w:t xml:space="preserve">]  </w:t>
      </w:r>
      <w:r>
        <w:rPr>
          <w:rFonts w:ascii="仿宋" w:eastAsia="仿宋" w:hAnsi="仿宋" w:hint="eastAsia"/>
          <w:sz w:val="18"/>
        </w:rPr>
        <w:t>选择采用快速程序，必须填写快速程序代码。 B代表省略起草阶段，C代表省略起草阶段和征求意见阶段，具体要求详见《采用快速程序制定国家标准的管理规定》</w:t>
      </w:r>
    </w:p>
    <w:p w14:paraId="22CC3216" w14:textId="77777777" w:rsidR="00EC41AB" w:rsidRDefault="00EC41AB">
      <w:pPr>
        <w:adjustRightInd w:val="0"/>
        <w:snapToGrid w:val="0"/>
        <w:spacing w:line="300" w:lineRule="auto"/>
        <w:ind w:firstLineChars="280" w:firstLine="504"/>
        <w:rPr>
          <w:rFonts w:ascii="仿宋" w:eastAsia="仿宋" w:hAnsi="仿宋"/>
          <w:sz w:val="18"/>
        </w:rPr>
      </w:pPr>
    </w:p>
    <w:p w14:paraId="0EAA3011" w14:textId="77777777" w:rsidR="00EC41AB" w:rsidRDefault="00EC41AB">
      <w:pPr>
        <w:adjustRightInd w:val="0"/>
        <w:snapToGrid w:val="0"/>
        <w:spacing w:line="300" w:lineRule="auto"/>
        <w:ind w:firstLineChars="280" w:firstLine="700"/>
        <w:rPr>
          <w:rFonts w:ascii="仿宋_GB2312" w:eastAsia="仿宋_GB2312" w:hAnsi="Microsoft YaHei UI" w:cs="仿宋_GB2312"/>
          <w:color w:val="000000"/>
          <w:spacing w:val="5"/>
          <w:sz w:val="24"/>
          <w:shd w:val="clear" w:color="auto" w:fill="FFFFFF"/>
        </w:rPr>
      </w:pPr>
    </w:p>
    <w:sectPr w:rsidR="00EC41A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07890" w14:textId="77777777" w:rsidR="00571DEB" w:rsidRDefault="00571DEB">
      <w:r>
        <w:separator/>
      </w:r>
    </w:p>
  </w:endnote>
  <w:endnote w:type="continuationSeparator" w:id="0">
    <w:p w14:paraId="407C29A2" w14:textId="77777777" w:rsidR="00571DEB" w:rsidRDefault="00571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仿宋_GB2312">
    <w:altName w:val="仿宋"/>
    <w:panose1 w:val="02010609030101010101"/>
    <w:charset w:val="86"/>
    <w:family w:val="modern"/>
    <w:pitch w:val="fixed"/>
    <w:sig w:usb0="00000001" w:usb1="080E0000" w:usb2="00000010" w:usb3="00000000" w:csb0="00040000" w:csb1="00000000"/>
  </w:font>
  <w:font w:name="Microsoft YaHei UI">
    <w:panose1 w:val="020B0503020204020204"/>
    <w:charset w:val="86"/>
    <w:family w:val="auto"/>
    <w:pitch w:val="default"/>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AB3A6" w14:textId="77777777" w:rsidR="00571DEB" w:rsidRDefault="00571DEB">
      <w:r>
        <w:separator/>
      </w:r>
    </w:p>
  </w:footnote>
  <w:footnote w:type="continuationSeparator" w:id="0">
    <w:p w14:paraId="30678DF6" w14:textId="77777777" w:rsidR="00571DEB" w:rsidRDefault="00571DEB">
      <w:r>
        <w:continuationSeparator/>
      </w:r>
    </w:p>
  </w:footnote>
  <w:footnote w:id="1">
    <w:p w14:paraId="448FC835" w14:textId="77777777" w:rsidR="00EC41AB" w:rsidRDefault="00000000">
      <w:pPr>
        <w:pStyle w:val="a7"/>
      </w:pPr>
      <w:r>
        <w:rPr>
          <w:rStyle w:val="a9"/>
        </w:rPr>
        <w:footnoteRef/>
      </w:r>
      <w:r>
        <w:t xml:space="preserve"> </w:t>
      </w:r>
      <w:r>
        <w:rPr>
          <w:rFonts w:hint="eastAsia"/>
        </w:rPr>
        <w:t>https://www.globalreporting.org/</w:t>
      </w:r>
    </w:p>
  </w:footnote>
  <w:footnote w:id="2">
    <w:p w14:paraId="5B00829A" w14:textId="77777777" w:rsidR="00EC41AB" w:rsidRDefault="00000000">
      <w:pPr>
        <w:pStyle w:val="a7"/>
      </w:pPr>
      <w:r>
        <w:rPr>
          <w:rStyle w:val="a9"/>
        </w:rPr>
        <w:footnoteRef/>
      </w:r>
      <w:r>
        <w:t xml:space="preserve"> </w:t>
      </w:r>
      <w:r>
        <w:rPr>
          <w:rFonts w:hint="eastAsia"/>
        </w:rPr>
        <w:t>赵丽芳</w:t>
      </w:r>
      <w:r>
        <w:rPr>
          <w:rFonts w:hint="eastAsia"/>
        </w:rPr>
        <w:t>.GRI</w:t>
      </w:r>
      <w:r>
        <w:rPr>
          <w:rFonts w:hint="eastAsia"/>
        </w:rPr>
        <w:t>发布最新版可持续发展报告指南</w:t>
      </w:r>
      <w:r>
        <w:rPr>
          <w:rFonts w:hint="eastAsia"/>
        </w:rPr>
        <w:t>G4.WTO</w:t>
      </w:r>
      <w:r>
        <w:rPr>
          <w:rFonts w:hint="eastAsia"/>
        </w:rPr>
        <w:t>经济导刊</w:t>
      </w:r>
      <w:r>
        <w:rPr>
          <w:rFonts w:hint="eastAsia"/>
        </w:rPr>
        <w:t>.,2013(06).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3A63FB"/>
    <w:multiLevelType w:val="multilevel"/>
    <w:tmpl w:val="4A3A63FB"/>
    <w:lvl w:ilvl="0">
      <w:start w:val="1"/>
      <w:numFmt w:val="decimal"/>
      <w:lvlText w:val="%1."/>
      <w:lvlJc w:val="left"/>
      <w:pPr>
        <w:tabs>
          <w:tab w:val="left" w:pos="360"/>
        </w:tabs>
        <w:ind w:left="360" w:hanging="360"/>
      </w:pPr>
      <w:rPr>
        <w:u w:val="single"/>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16cid:durableId="4045718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38E2"/>
    <w:rsid w:val="0008210C"/>
    <w:rsid w:val="000D59E8"/>
    <w:rsid w:val="000F49B7"/>
    <w:rsid w:val="001370BE"/>
    <w:rsid w:val="00265A9F"/>
    <w:rsid w:val="005609D8"/>
    <w:rsid w:val="00571DEB"/>
    <w:rsid w:val="008149B8"/>
    <w:rsid w:val="008738E2"/>
    <w:rsid w:val="008B038E"/>
    <w:rsid w:val="0096129C"/>
    <w:rsid w:val="00AE786C"/>
    <w:rsid w:val="00B42DF0"/>
    <w:rsid w:val="00C57E8D"/>
    <w:rsid w:val="00E766CF"/>
    <w:rsid w:val="00EC41AB"/>
    <w:rsid w:val="08B50518"/>
    <w:rsid w:val="09CA0709"/>
    <w:rsid w:val="0A117DCB"/>
    <w:rsid w:val="0F4036CD"/>
    <w:rsid w:val="0FBD6B59"/>
    <w:rsid w:val="143A2AE0"/>
    <w:rsid w:val="154318D4"/>
    <w:rsid w:val="1B9C7611"/>
    <w:rsid w:val="1E495E24"/>
    <w:rsid w:val="1ED776DA"/>
    <w:rsid w:val="28BD68BE"/>
    <w:rsid w:val="35EC5485"/>
    <w:rsid w:val="38327002"/>
    <w:rsid w:val="39C07684"/>
    <w:rsid w:val="3ABA0FBA"/>
    <w:rsid w:val="40C97562"/>
    <w:rsid w:val="46E03190"/>
    <w:rsid w:val="5D04361A"/>
    <w:rsid w:val="6DA22A9E"/>
    <w:rsid w:val="6E6115BD"/>
    <w:rsid w:val="70C617D9"/>
    <w:rsid w:val="72A7681D"/>
    <w:rsid w:val="78E35325"/>
    <w:rsid w:val="7DF32816"/>
    <w:rsid w:val="7F9837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97150B"/>
  <w15:docId w15:val="{2CC39D5F-7225-471B-9B3E-E6705D37D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qFormat="1"/>
    <w:lsdException w:name="annotation text" w:semiHidden="1" w:unhideWhenUsed="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3">
    <w:name w:val="heading 3"/>
    <w:basedOn w:val="a"/>
    <w:next w:val="a"/>
    <w:uiPriority w:val="9"/>
    <w:semiHidden/>
    <w:unhideWhenUsed/>
    <w:qFormat/>
    <w:pPr>
      <w:spacing w:beforeAutospacing="1" w:afterAutospacing="1"/>
      <w:jc w:val="left"/>
      <w:outlineLvl w:val="2"/>
    </w:pPr>
    <w:rPr>
      <w:rFonts w:ascii="宋体" w:hAnsi="宋体" w:hint="eastAsia"/>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nhideWhenUsed/>
    <w:qFormat/>
    <w:pPr>
      <w:pBdr>
        <w:bottom w:val="single" w:sz="6" w:space="1" w:color="auto"/>
      </w:pBdr>
      <w:tabs>
        <w:tab w:val="center" w:pos="4153"/>
        <w:tab w:val="right" w:pos="8306"/>
      </w:tabs>
      <w:snapToGrid w:val="0"/>
      <w:jc w:val="center"/>
    </w:pPr>
    <w:rPr>
      <w:sz w:val="18"/>
      <w:szCs w:val="18"/>
    </w:rPr>
  </w:style>
  <w:style w:type="paragraph" w:styleId="a7">
    <w:name w:val="footnote text"/>
    <w:basedOn w:val="a"/>
    <w:uiPriority w:val="99"/>
    <w:qFormat/>
    <w:pPr>
      <w:snapToGrid w:val="0"/>
      <w:jc w:val="left"/>
    </w:pPr>
    <w:rPr>
      <w:sz w:val="18"/>
      <w:szCs w:val="18"/>
    </w:rPr>
  </w:style>
  <w:style w:type="character" w:styleId="a8">
    <w:name w:val="Hyperlink"/>
    <w:basedOn w:val="a0"/>
    <w:uiPriority w:val="99"/>
    <w:semiHidden/>
    <w:unhideWhenUsed/>
    <w:qFormat/>
    <w:rPr>
      <w:color w:val="0000FF"/>
      <w:u w:val="single"/>
    </w:rPr>
  </w:style>
  <w:style w:type="character" w:styleId="a9">
    <w:name w:val="footnote reference"/>
    <w:link w:val="16Point"/>
    <w:uiPriority w:val="99"/>
    <w:qFormat/>
    <w:rPr>
      <w:rFonts w:ascii="Times New Roman" w:hAnsi="Times New Roman"/>
      <w:kern w:val="0"/>
      <w:sz w:val="20"/>
      <w:szCs w:val="20"/>
      <w:vertAlign w:val="superscript"/>
    </w:rPr>
  </w:style>
  <w:style w:type="paragraph" w:customStyle="1" w:styleId="16Point">
    <w:name w:val="16 Point"/>
    <w:basedOn w:val="a"/>
    <w:link w:val="a9"/>
    <w:uiPriority w:val="99"/>
    <w:qFormat/>
    <w:pPr>
      <w:widowControl/>
      <w:spacing w:before="120" w:after="160" w:line="240" w:lineRule="exact"/>
      <w:jc w:val="left"/>
    </w:pPr>
    <w:rPr>
      <w:kern w:val="0"/>
      <w:sz w:val="20"/>
      <w:szCs w:val="20"/>
      <w:vertAlign w:val="superscript"/>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styleId="aa">
    <w:name w:val="Revision"/>
    <w:hidden/>
    <w:uiPriority w:val="99"/>
    <w:semiHidden/>
    <w:rsid w:val="00E766C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baidu.com/link?url=ieQmPqaS4b6j3kiPn9cpfA52A-ncEoGayS4mzGkw1sjOAuyC15XPhS5audTaZf5KpiWpAFnNMuTHH9XDQWuejud1g5pVcIMi0eEAC3pu6R8FXiBRUtvlEyYgUy6X15B4c0slQvjFcsGzqS80iu3tSEu7zPPge-IykgYfXTIc3D9I0BCUUW8axuFj62VsQHGsxGpmxxYsAFjqN0ZArYhc-csbgnUb3ysDwavWfRPrVCt8TePqRLdFqbNaLlPVjPL9" TargetMode="External"/><Relationship Id="rId13" Type="http://schemas.openxmlformats.org/officeDocument/2006/relationships/hyperlink" Target="http://www.baidu.com/link?url=ieQmPqaS4b6j3kiPn9cpfA52A-ncEoGayS4mzGkw1sjOAuyC15XPhS5audTaZf5KpiWpAFnNMuTHH9XDQWuejud1g5pVcIMi0eEAC3pu6R8FXiBRUtvlEyYgUy6X15B4c0slQvjFcsGzqS80iu3tSEu7zPPge-IykgYfXTIc3D9I0BCUUW8axuFj62VsQHGsxGpmxxYsAFjqN0ZArYhc-csbgnUb3ysDwavWfRPrVCt8TePqRLdFqbNaLlPVjPL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aidu.com/link?url=ieQmPqaS4b6j3kiPn9cpfA52A-ncEoGayS4mzGkw1sjOAuyC15XPhS5audTaZf5KpiWpAFnNMuTHH9XDQWuejud1g5pVcIMi0eEAC3pu6R8FXiBRUtvlEyYgUy6X15B4c0slQvjFcsGzqS80iu3tSEu7zPPge-IykgYfXTIc3D9I0BCUUW8axuFj62VsQHGsxGpmxxYsAFjqN0ZArYhc-csbgnUb3ysDwavWfRPrVCt8TePqRLdFqbNaLlPVjPL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idu.com/link?url=ieQmPqaS4b6j3kiPn9cpfA52A-ncEoGayS4mzGkw1sjOAuyC15XPhS5audTaZf5KpiWpAFnNMuTHH9XDQWuejud1g5pVcIMi0eEAC3pu6R8FXiBRUtvlEyYgUy6X15B4c0slQvjFcsGzqS80iu3tSEu7zPPge-IykgYfXTIc3D9I0BCUUW8axuFj62VsQHGsxGpmxxYsAFjqN0ZArYhc-csbgnUb3ysDwavWfRPrVCt8TePqRLdFqbNaLlPVjPL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aidu.com/link?url=ieQmPqaS4b6j3kiPn9cpfA52A-ncEoGayS4mzGkw1sjOAuyC15XPhS5audTaZf5KpiWpAFnNMuTHH9XDQWuejud1g5pVcIMi0eEAC3pu6R8FXiBRUtvlEyYgUy6X15B4c0slQvjFcsGzqS80iu3tSEu7zPPge-IykgYfXTIc3D9I0BCUUW8axuFj62VsQHGsxGpmxxYsAFjqN0ZArYhc-csbgnUb3ysDwavWfRPrVCt8TePqRLdFqbNaLlPVjPL9" TargetMode="External"/><Relationship Id="rId4" Type="http://schemas.openxmlformats.org/officeDocument/2006/relationships/settings" Target="settings.xml"/><Relationship Id="rId9" Type="http://schemas.openxmlformats.org/officeDocument/2006/relationships/hyperlink" Target="http://www.baidu.com/link?url=ieQmPqaS4b6j3kiPn9cpfA52A-ncEoGayS4mzGkw1sjOAuyC15XPhS5audTaZf5KpiWpAFnNMuTHH9XDQWuejud1g5pVcIMi0eEAC3pu6R8FXiBRUtvlEyYgUy6X15B4c0slQvjFcsGzqS80iu3tSEu7zPPge-IykgYfXTIc3D9I0BCUUW8axuFj62VsQHGsxGpmxxYsAFjqN0ZArYhc-csbgnUb3ysDwavWfRPrVCt8TePqRLdFqbNaLlPVjPL9"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1117</Words>
  <Characters>6373</Characters>
  <Application>Microsoft Office Word</Application>
  <DocSecurity>0</DocSecurity>
  <Lines>53</Lines>
  <Paragraphs>14</Paragraphs>
  <ScaleCrop>false</ScaleCrop>
  <Company/>
  <LinksUpToDate>false</LinksUpToDate>
  <CharactersWithSpaces>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chengran</dc:creator>
  <cp:lastModifiedBy>yuan yaxuan</cp:lastModifiedBy>
  <cp:revision>10</cp:revision>
  <dcterms:created xsi:type="dcterms:W3CDTF">2019-03-25T02:43:00Z</dcterms:created>
  <dcterms:modified xsi:type="dcterms:W3CDTF">2022-10-09T03:29:00Z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CC51CCFEC9E148D5B0827A4D8C0CE430</vt:lpwstr>
  </property>
</Properties>
</file>