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E2" w:rsidRDefault="00085DE2" w:rsidP="00085DE2">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附件</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畜禽养殖禁养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技术指南</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为贯彻落实《畜禽规模养殖污染防治条例》</w:t>
      </w:r>
      <w:proofErr w:type="gramStart"/>
      <w:r w:rsidRPr="00085DE2">
        <w:rPr>
          <w:rFonts w:asciiTheme="majorEastAsia" w:eastAsiaTheme="majorEastAsia" w:hAnsiTheme="majorEastAsia" w:cs="FangSong" w:hint="eastAsia"/>
          <w:kern w:val="0"/>
          <w:sz w:val="30"/>
          <w:szCs w:val="30"/>
        </w:rPr>
        <w:t>《</w:t>
      </w:r>
      <w:proofErr w:type="gramEnd"/>
      <w:r w:rsidRPr="00085DE2">
        <w:rPr>
          <w:rFonts w:asciiTheme="majorEastAsia" w:eastAsiaTheme="majorEastAsia" w:hAnsiTheme="majorEastAsia" w:cs="FangSong" w:hint="eastAsia"/>
          <w:kern w:val="0"/>
          <w:sz w:val="30"/>
          <w:szCs w:val="30"/>
        </w:rPr>
        <w:t>水污染防治行动计</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划</w:t>
      </w:r>
      <w:proofErr w:type="gramStart"/>
      <w:r w:rsidRPr="00085DE2">
        <w:rPr>
          <w:rFonts w:asciiTheme="majorEastAsia" w:eastAsiaTheme="majorEastAsia" w:hAnsiTheme="majorEastAsia" w:cs="FangSong" w:hint="eastAsia"/>
          <w:kern w:val="0"/>
          <w:sz w:val="30"/>
          <w:szCs w:val="30"/>
        </w:rPr>
        <w:t>》</w:t>
      </w:r>
      <w:proofErr w:type="gramEnd"/>
      <w:r w:rsidRPr="00085DE2">
        <w:rPr>
          <w:rFonts w:asciiTheme="majorEastAsia" w:eastAsiaTheme="majorEastAsia" w:hAnsiTheme="majorEastAsia" w:cs="FangSong" w:hint="eastAsia"/>
          <w:kern w:val="0"/>
          <w:sz w:val="30"/>
          <w:szCs w:val="30"/>
        </w:rPr>
        <w:t>，指导各地科学划定畜禽养殖禁养区（以下简称禁养区），推进畜禽养殖污染防治，引导畜牧业绿色发展，制定本指南。</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1 </w:t>
      </w:r>
      <w:r w:rsidRPr="00085DE2">
        <w:rPr>
          <w:rFonts w:asciiTheme="majorEastAsia" w:eastAsiaTheme="majorEastAsia" w:hAnsiTheme="majorEastAsia" w:cs="黑体" w:hint="eastAsia"/>
          <w:kern w:val="0"/>
          <w:sz w:val="30"/>
          <w:szCs w:val="30"/>
        </w:rPr>
        <w:t>适用范围</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本指南适用于主要畜禽禁养区的划定。</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2 </w:t>
      </w:r>
      <w:r w:rsidRPr="00085DE2">
        <w:rPr>
          <w:rFonts w:asciiTheme="majorEastAsia" w:eastAsiaTheme="majorEastAsia" w:hAnsiTheme="majorEastAsia" w:cs="黑体" w:hint="eastAsia"/>
          <w:kern w:val="0"/>
          <w:sz w:val="30"/>
          <w:szCs w:val="30"/>
        </w:rPr>
        <w:t>划定依据</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1</w:t>
      </w:r>
      <w:r w:rsidRPr="00085DE2">
        <w:rPr>
          <w:rFonts w:asciiTheme="majorEastAsia" w:eastAsiaTheme="majorEastAsia" w:hAnsiTheme="majorEastAsia" w:cs="FangSong" w:hint="eastAsia"/>
          <w:kern w:val="0"/>
          <w:sz w:val="30"/>
          <w:szCs w:val="30"/>
        </w:rPr>
        <w:t>）《环境保护法》</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2</w:t>
      </w:r>
      <w:r w:rsidRPr="00085DE2">
        <w:rPr>
          <w:rFonts w:asciiTheme="majorEastAsia" w:eastAsiaTheme="majorEastAsia" w:hAnsiTheme="majorEastAsia" w:cs="FangSong" w:hint="eastAsia"/>
          <w:kern w:val="0"/>
          <w:sz w:val="30"/>
          <w:szCs w:val="30"/>
        </w:rPr>
        <w:t>）《畜牧法》</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3</w:t>
      </w:r>
      <w:r w:rsidRPr="00085DE2">
        <w:rPr>
          <w:rFonts w:asciiTheme="majorEastAsia" w:eastAsiaTheme="majorEastAsia" w:hAnsiTheme="majorEastAsia" w:cs="FangSong" w:hint="eastAsia"/>
          <w:kern w:val="0"/>
          <w:sz w:val="30"/>
          <w:szCs w:val="30"/>
        </w:rPr>
        <w:t>）《水污染防治法》</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4</w:t>
      </w:r>
      <w:r w:rsidRPr="00085DE2">
        <w:rPr>
          <w:rFonts w:asciiTheme="majorEastAsia" w:eastAsiaTheme="majorEastAsia" w:hAnsiTheme="majorEastAsia" w:cs="FangSong" w:hint="eastAsia"/>
          <w:kern w:val="0"/>
          <w:sz w:val="30"/>
          <w:szCs w:val="30"/>
        </w:rPr>
        <w:t>）《大气污染防治法》</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5</w:t>
      </w:r>
      <w:r w:rsidRPr="00085DE2">
        <w:rPr>
          <w:rFonts w:asciiTheme="majorEastAsia" w:eastAsiaTheme="majorEastAsia" w:hAnsiTheme="majorEastAsia" w:cs="FangSong" w:hint="eastAsia"/>
          <w:kern w:val="0"/>
          <w:sz w:val="30"/>
          <w:szCs w:val="30"/>
        </w:rPr>
        <w:t>）《畜禽规模养殖污染防治条例》</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6</w:t>
      </w:r>
      <w:r w:rsidRPr="00085DE2">
        <w:rPr>
          <w:rFonts w:asciiTheme="majorEastAsia" w:eastAsiaTheme="majorEastAsia" w:hAnsiTheme="majorEastAsia" w:cs="FangSong" w:hint="eastAsia"/>
          <w:kern w:val="0"/>
          <w:sz w:val="30"/>
          <w:szCs w:val="30"/>
        </w:rPr>
        <w:t>）《水污染防治行动计划》</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7</w:t>
      </w:r>
      <w:r w:rsidRPr="00085DE2">
        <w:rPr>
          <w:rFonts w:asciiTheme="majorEastAsia" w:eastAsiaTheme="majorEastAsia" w:hAnsiTheme="majorEastAsia" w:cs="FangSong" w:hint="eastAsia"/>
          <w:kern w:val="0"/>
          <w:sz w:val="30"/>
          <w:szCs w:val="30"/>
        </w:rPr>
        <w:t>）《饮用水水源保护区划分技术规范》（</w:t>
      </w:r>
      <w:r w:rsidRPr="00085DE2">
        <w:rPr>
          <w:rFonts w:asciiTheme="majorEastAsia" w:eastAsiaTheme="majorEastAsia" w:hAnsiTheme="majorEastAsia" w:cs="FangSong"/>
          <w:kern w:val="0"/>
          <w:sz w:val="30"/>
          <w:szCs w:val="30"/>
        </w:rPr>
        <w:t>HJ/T 338-2007</w:t>
      </w:r>
      <w:r w:rsidRPr="00085DE2">
        <w:rPr>
          <w:rFonts w:asciiTheme="majorEastAsia" w:eastAsiaTheme="majorEastAsia" w:hAnsiTheme="majorEastAsia" w:cs="FangSong" w:hint="eastAsia"/>
          <w:kern w:val="0"/>
          <w:sz w:val="30"/>
          <w:szCs w:val="30"/>
        </w:rPr>
        <w:t>）</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8</w:t>
      </w:r>
      <w:r w:rsidRPr="00085DE2">
        <w:rPr>
          <w:rFonts w:asciiTheme="majorEastAsia" w:eastAsiaTheme="majorEastAsia" w:hAnsiTheme="majorEastAsia" w:cs="FangSong" w:hint="eastAsia"/>
          <w:kern w:val="0"/>
          <w:sz w:val="30"/>
          <w:szCs w:val="30"/>
        </w:rPr>
        <w:t>）其他有关法律法规和技术规范</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3 </w:t>
      </w:r>
      <w:r w:rsidRPr="00085DE2">
        <w:rPr>
          <w:rFonts w:asciiTheme="majorEastAsia" w:eastAsiaTheme="majorEastAsia" w:hAnsiTheme="majorEastAsia" w:cs="黑体" w:hint="eastAsia"/>
          <w:kern w:val="0"/>
          <w:sz w:val="30"/>
          <w:szCs w:val="30"/>
        </w:rPr>
        <w:t>术语与定义</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3.1 </w:t>
      </w:r>
      <w:r w:rsidRPr="00085DE2">
        <w:rPr>
          <w:rFonts w:asciiTheme="majorEastAsia" w:eastAsiaTheme="majorEastAsia" w:hAnsiTheme="majorEastAsia" w:cs="KaiTi" w:hint="eastAsia"/>
          <w:kern w:val="0"/>
          <w:sz w:val="30"/>
          <w:szCs w:val="30"/>
        </w:rPr>
        <w:t>畜禽</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包括猪、牛、鸡等主要畜禽，其他品种动物由各地依据其规模养殖的环境影响确定。</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3.2 </w:t>
      </w:r>
      <w:r w:rsidRPr="00085DE2">
        <w:rPr>
          <w:rFonts w:asciiTheme="majorEastAsia" w:eastAsiaTheme="majorEastAsia" w:hAnsiTheme="majorEastAsia" w:cs="KaiTi" w:hint="eastAsia"/>
          <w:kern w:val="0"/>
          <w:sz w:val="30"/>
          <w:szCs w:val="30"/>
        </w:rPr>
        <w:t>畜禽养殖场、养殖小区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指达到省级人民政府确定的养殖规模标准的畜禽集中饲养场所</w:t>
      </w:r>
      <w:r w:rsidRPr="00085DE2">
        <w:rPr>
          <w:rFonts w:asciiTheme="majorEastAsia" w:eastAsiaTheme="majorEastAsia" w:hAnsiTheme="majorEastAsia" w:cs="FangSong" w:hint="eastAsia"/>
          <w:kern w:val="0"/>
          <w:sz w:val="30"/>
          <w:szCs w:val="30"/>
        </w:rPr>
        <w:lastRenderedPageBreak/>
        <w:t>（以下简称养殖场）。</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3.3 </w:t>
      </w:r>
      <w:r w:rsidRPr="00085DE2">
        <w:rPr>
          <w:rFonts w:asciiTheme="majorEastAsia" w:eastAsiaTheme="majorEastAsia" w:hAnsiTheme="majorEastAsia" w:cs="KaiTi" w:hint="eastAsia"/>
          <w:kern w:val="0"/>
          <w:sz w:val="30"/>
          <w:szCs w:val="30"/>
        </w:rPr>
        <w:t>禁养区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指县级以上地方人民政府依法划定的禁止建设养殖场或禁止建设有污染物排放的养殖场的区域。</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4 </w:t>
      </w:r>
      <w:r w:rsidRPr="00085DE2">
        <w:rPr>
          <w:rFonts w:asciiTheme="majorEastAsia" w:eastAsiaTheme="majorEastAsia" w:hAnsiTheme="majorEastAsia" w:cs="黑体" w:hint="eastAsia"/>
          <w:kern w:val="0"/>
          <w:sz w:val="30"/>
          <w:szCs w:val="30"/>
        </w:rPr>
        <w:t>基本要求</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以优化畜禽养殖产业布局、控制农业面源污染、保障生态环境安全为目的，以统筹兼顾、科学可行、依法合</w:t>
      </w:r>
      <w:proofErr w:type="gramStart"/>
      <w:r w:rsidRPr="00085DE2">
        <w:rPr>
          <w:rFonts w:asciiTheme="majorEastAsia" w:eastAsiaTheme="majorEastAsia" w:hAnsiTheme="majorEastAsia" w:cs="FangSong" w:hint="eastAsia"/>
          <w:kern w:val="0"/>
          <w:sz w:val="30"/>
          <w:szCs w:val="30"/>
        </w:rPr>
        <w:t>规</w:t>
      </w:r>
      <w:proofErr w:type="gramEnd"/>
      <w:r w:rsidRPr="00085DE2">
        <w:rPr>
          <w:rFonts w:asciiTheme="majorEastAsia" w:eastAsiaTheme="majorEastAsia" w:hAnsiTheme="majorEastAsia" w:cs="FangSong" w:hint="eastAsia"/>
          <w:kern w:val="0"/>
          <w:sz w:val="30"/>
          <w:szCs w:val="30"/>
        </w:rPr>
        <w:t>、以人为本为基本</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原则，根据《全国主体功能区划》《全国生态功能区划（修编版）》，综合考虑各区域主体功能定位及生态功能重要性，在与生态保护红线格局相协调前提下，以饮用水水源保护区、自然保护区的核心区和缓冲区、风景名胜区、城镇居民区、文化教育科学研究区等区域为重点，兼顾江河源头区、重要河流岸带、重要湖库周边等对水环境影响较大的区域，科学合理划定禁养区范围，切实加强环境监管，促进环境保护和畜牧业协调发展。</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5 </w:t>
      </w:r>
      <w:r w:rsidRPr="00085DE2">
        <w:rPr>
          <w:rFonts w:asciiTheme="majorEastAsia" w:eastAsiaTheme="majorEastAsia" w:hAnsiTheme="majorEastAsia" w:cs="黑体" w:hint="eastAsia"/>
          <w:kern w:val="0"/>
          <w:sz w:val="30"/>
          <w:szCs w:val="30"/>
        </w:rPr>
        <w:t>划定范围</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5.1 </w:t>
      </w:r>
      <w:r w:rsidRPr="00085DE2">
        <w:rPr>
          <w:rFonts w:asciiTheme="majorEastAsia" w:eastAsiaTheme="majorEastAsia" w:hAnsiTheme="majorEastAsia" w:cs="KaiTi" w:hint="eastAsia"/>
          <w:kern w:val="0"/>
          <w:sz w:val="30"/>
          <w:szCs w:val="30"/>
        </w:rPr>
        <w:t>饮用水水源保护区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包括饮用水水源一级保护区和二级保护区的陆域范围。已经完</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成饮用水水源保护区划分的，按照现有陆域边界范围执行；未完成饮用水水源保护区划分的，参照《饮用水水源保护区划分技术规范》（</w:t>
      </w:r>
      <w:r w:rsidRPr="00085DE2">
        <w:rPr>
          <w:rFonts w:asciiTheme="majorEastAsia" w:eastAsiaTheme="majorEastAsia" w:hAnsiTheme="majorEastAsia" w:cs="FangSong"/>
          <w:kern w:val="0"/>
          <w:sz w:val="30"/>
          <w:szCs w:val="30"/>
        </w:rPr>
        <w:t>HJ/T 338-2007</w:t>
      </w:r>
      <w:r w:rsidRPr="00085DE2">
        <w:rPr>
          <w:rFonts w:asciiTheme="majorEastAsia" w:eastAsiaTheme="majorEastAsia" w:hAnsiTheme="majorEastAsia" w:cs="FangSong" w:hint="eastAsia"/>
          <w:kern w:val="0"/>
          <w:sz w:val="30"/>
          <w:szCs w:val="30"/>
        </w:rPr>
        <w:t>）中各类型饮用水水源保护区划分方法确定。</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其中，饮水水源保护一级保护区内禁止建设养殖场。饮用水水</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lastRenderedPageBreak/>
        <w:t>源二级保护区禁止建设有污染物排放的养殖场（注：畜禽粪便、养殖废水、沼渣、沼液等经过无害化处理用作肥料还田，符合法律法规要求以及国家和地方相关标准不造成环境污染的，不属于排放污染物）。</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5.2 </w:t>
      </w:r>
      <w:r w:rsidRPr="00085DE2">
        <w:rPr>
          <w:rFonts w:asciiTheme="majorEastAsia" w:eastAsiaTheme="majorEastAsia" w:hAnsiTheme="majorEastAsia" w:cs="KaiTi" w:hint="eastAsia"/>
          <w:kern w:val="0"/>
          <w:sz w:val="30"/>
          <w:szCs w:val="30"/>
        </w:rPr>
        <w:t>自然保护区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包括国家级和地方级自然保护区的核心区和缓冲区，按照各级</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人民政府公布的自然保护区范围执行。</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自然保护区核心区和缓冲区范围内，禁止建设养殖场。</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5.3 </w:t>
      </w:r>
      <w:r w:rsidRPr="00085DE2">
        <w:rPr>
          <w:rFonts w:asciiTheme="majorEastAsia" w:eastAsiaTheme="majorEastAsia" w:hAnsiTheme="majorEastAsia" w:cs="KaiTi" w:hint="eastAsia"/>
          <w:kern w:val="0"/>
          <w:sz w:val="30"/>
          <w:szCs w:val="30"/>
        </w:rPr>
        <w:t>风景名胜区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包括国家级和省级风景名胜区，以国务院及省级人民政府批准公布的名单为准，范围按照其规划确定的范围执行。</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其中，风景名胜区的核心景区禁止建设养殖场；其他区域禁止建设有污染物排放的养殖场。</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5.4 </w:t>
      </w:r>
      <w:r w:rsidRPr="00085DE2">
        <w:rPr>
          <w:rFonts w:asciiTheme="majorEastAsia" w:eastAsiaTheme="majorEastAsia" w:hAnsiTheme="majorEastAsia" w:cs="KaiTi" w:hint="eastAsia"/>
          <w:kern w:val="0"/>
          <w:sz w:val="30"/>
          <w:szCs w:val="30"/>
        </w:rPr>
        <w:t>城镇居民区和文化教育科学研究区</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根据城镇现行总体规划，动物防疫条件、卫生防护和环境保护</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要求等，因地制宜，兼顾城镇发展，科学设置边界范围。边界范围内，禁止建设养殖场。</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5.5 </w:t>
      </w:r>
      <w:r w:rsidRPr="00085DE2">
        <w:rPr>
          <w:rFonts w:asciiTheme="majorEastAsia" w:eastAsiaTheme="majorEastAsia" w:hAnsiTheme="majorEastAsia" w:cs="KaiTi" w:hint="eastAsia"/>
          <w:kern w:val="0"/>
          <w:sz w:val="30"/>
          <w:szCs w:val="30"/>
        </w:rPr>
        <w:t>依照法律法规规定应当划定的区域</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法律法规规定的其他禁止建设养殖场的区域。</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6 </w:t>
      </w:r>
      <w:r w:rsidRPr="00085DE2">
        <w:rPr>
          <w:rFonts w:asciiTheme="majorEastAsia" w:eastAsiaTheme="majorEastAsia" w:hAnsiTheme="majorEastAsia" w:cs="黑体" w:hint="eastAsia"/>
          <w:kern w:val="0"/>
          <w:sz w:val="30"/>
          <w:szCs w:val="30"/>
        </w:rPr>
        <w:t>工作流程</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6.1 </w:t>
      </w:r>
      <w:r w:rsidRPr="00085DE2">
        <w:rPr>
          <w:rFonts w:asciiTheme="majorEastAsia" w:eastAsiaTheme="majorEastAsia" w:hAnsiTheme="majorEastAsia" w:cs="KaiTi" w:hint="eastAsia"/>
          <w:kern w:val="0"/>
          <w:sz w:val="30"/>
          <w:szCs w:val="30"/>
        </w:rPr>
        <w:t>摸清底数</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县级以上地方环保部门、农牧部门会同有关部门依据国家和地方</w:t>
      </w:r>
      <w:r w:rsidRPr="00085DE2">
        <w:rPr>
          <w:rFonts w:asciiTheme="majorEastAsia" w:eastAsiaTheme="majorEastAsia" w:hAnsiTheme="majorEastAsia" w:cs="FangSong" w:hint="eastAsia"/>
          <w:kern w:val="0"/>
          <w:sz w:val="30"/>
          <w:szCs w:val="30"/>
        </w:rPr>
        <w:lastRenderedPageBreak/>
        <w:t>法律、法规、规章等，结合当地经济社会发展规划、生态环境保护规划、畜牧业发展规划等，识别和初步确定禁养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范围。</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6.2 </w:t>
      </w:r>
      <w:r w:rsidRPr="00085DE2">
        <w:rPr>
          <w:rFonts w:asciiTheme="majorEastAsia" w:eastAsiaTheme="majorEastAsia" w:hAnsiTheme="majorEastAsia" w:cs="KaiTi" w:hint="eastAsia"/>
          <w:kern w:val="0"/>
          <w:sz w:val="30"/>
          <w:szCs w:val="30"/>
        </w:rPr>
        <w:t>核定边界</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在初步确定划定范围的基础上，组织开展实地勘察，调查禁养</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相关基础信息（包括有关地物信息，养殖场分布、养殖规模等），</w:t>
      </w:r>
      <w:proofErr w:type="gramStart"/>
      <w:r w:rsidRPr="00085DE2">
        <w:rPr>
          <w:rFonts w:asciiTheme="majorEastAsia" w:eastAsiaTheme="majorEastAsia" w:hAnsiTheme="majorEastAsia" w:cs="FangSong" w:hint="eastAsia"/>
          <w:kern w:val="0"/>
          <w:sz w:val="30"/>
          <w:szCs w:val="30"/>
        </w:rPr>
        <w:t>明确拟</w:t>
      </w:r>
      <w:proofErr w:type="gramEnd"/>
      <w:r w:rsidRPr="00085DE2">
        <w:rPr>
          <w:rFonts w:asciiTheme="majorEastAsia" w:eastAsiaTheme="majorEastAsia" w:hAnsiTheme="majorEastAsia" w:cs="FangSong" w:hint="eastAsia"/>
          <w:kern w:val="0"/>
          <w:sz w:val="30"/>
          <w:szCs w:val="30"/>
        </w:rPr>
        <w:t>划定禁养区范围边界拐点，形成禁养</w:t>
      </w:r>
      <w:proofErr w:type="gramStart"/>
      <w:r w:rsidRPr="00085DE2">
        <w:rPr>
          <w:rFonts w:asciiTheme="majorEastAsia" w:eastAsiaTheme="majorEastAsia" w:hAnsiTheme="majorEastAsia" w:cs="FangSong" w:hint="eastAsia"/>
          <w:kern w:val="0"/>
          <w:sz w:val="30"/>
          <w:szCs w:val="30"/>
        </w:rPr>
        <w:t>区划定初步</w:t>
      </w:r>
      <w:proofErr w:type="gramEnd"/>
      <w:r w:rsidRPr="00085DE2">
        <w:rPr>
          <w:rFonts w:asciiTheme="majorEastAsia" w:eastAsiaTheme="majorEastAsia" w:hAnsiTheme="majorEastAsia" w:cs="FangSong" w:hint="eastAsia"/>
          <w:kern w:val="0"/>
          <w:sz w:val="30"/>
          <w:szCs w:val="30"/>
        </w:rPr>
        <w:t>方案，包括比例尺一般不低于</w:t>
      </w:r>
      <w:r w:rsidRPr="00085DE2">
        <w:rPr>
          <w:rFonts w:asciiTheme="majorEastAsia" w:eastAsiaTheme="majorEastAsia" w:hAnsiTheme="majorEastAsia" w:cs="FangSong"/>
          <w:kern w:val="0"/>
          <w:sz w:val="30"/>
          <w:szCs w:val="30"/>
        </w:rPr>
        <w:t>1</w:t>
      </w:r>
      <w:r w:rsidRPr="00085DE2">
        <w:rPr>
          <w:rFonts w:asciiTheme="majorEastAsia" w:eastAsiaTheme="majorEastAsia" w:hAnsiTheme="majorEastAsia" w:cs="FangSong" w:hint="eastAsia"/>
          <w:kern w:val="0"/>
          <w:sz w:val="30"/>
          <w:szCs w:val="30"/>
        </w:rPr>
        <w:t>：</w:t>
      </w:r>
      <w:r w:rsidRPr="00085DE2">
        <w:rPr>
          <w:rFonts w:asciiTheme="majorEastAsia" w:eastAsiaTheme="majorEastAsia" w:hAnsiTheme="majorEastAsia" w:cs="FangSong"/>
          <w:kern w:val="0"/>
          <w:sz w:val="30"/>
          <w:szCs w:val="30"/>
        </w:rPr>
        <w:t xml:space="preserve">50000 </w:t>
      </w:r>
      <w:r w:rsidRPr="00085DE2">
        <w:rPr>
          <w:rFonts w:asciiTheme="majorEastAsia" w:eastAsiaTheme="majorEastAsia" w:hAnsiTheme="majorEastAsia" w:cs="FangSong" w:hint="eastAsia"/>
          <w:kern w:val="0"/>
          <w:sz w:val="30"/>
          <w:szCs w:val="30"/>
        </w:rPr>
        <w:t>的畜禽禁养区分布图，以及禁养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范围的文字描述等。</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6.3 </w:t>
      </w:r>
      <w:r w:rsidRPr="00085DE2">
        <w:rPr>
          <w:rFonts w:asciiTheme="majorEastAsia" w:eastAsiaTheme="majorEastAsia" w:hAnsiTheme="majorEastAsia" w:cs="KaiTi" w:hint="eastAsia"/>
          <w:kern w:val="0"/>
          <w:sz w:val="30"/>
          <w:szCs w:val="30"/>
        </w:rPr>
        <w:t>征求意见</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禁养</w:t>
      </w:r>
      <w:proofErr w:type="gramStart"/>
      <w:r w:rsidRPr="00085DE2">
        <w:rPr>
          <w:rFonts w:asciiTheme="majorEastAsia" w:eastAsiaTheme="majorEastAsia" w:hAnsiTheme="majorEastAsia" w:cs="FangSong" w:hint="eastAsia"/>
          <w:kern w:val="0"/>
          <w:sz w:val="30"/>
          <w:szCs w:val="30"/>
        </w:rPr>
        <w:t>区划定初步</w:t>
      </w:r>
      <w:proofErr w:type="gramEnd"/>
      <w:r w:rsidRPr="00085DE2">
        <w:rPr>
          <w:rFonts w:asciiTheme="majorEastAsia" w:eastAsiaTheme="majorEastAsia" w:hAnsiTheme="majorEastAsia" w:cs="FangSong" w:hint="eastAsia"/>
          <w:kern w:val="0"/>
          <w:sz w:val="30"/>
          <w:szCs w:val="30"/>
        </w:rPr>
        <w:t>方案应当征求同级有关部门意见，并向社会公</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开征求意见。根据反馈意见进行修正，必要的应当进行现场勘核，</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形成禁养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方案（送审稿）。</w:t>
      </w:r>
    </w:p>
    <w:p w:rsidR="00085DE2" w:rsidRPr="00085DE2" w:rsidRDefault="00085DE2" w:rsidP="00085DE2">
      <w:pPr>
        <w:autoSpaceDE w:val="0"/>
        <w:autoSpaceDN w:val="0"/>
        <w:adjustRightInd w:val="0"/>
        <w:jc w:val="left"/>
        <w:rPr>
          <w:rFonts w:asciiTheme="majorEastAsia" w:eastAsiaTheme="majorEastAsia" w:hAnsiTheme="majorEastAsia" w:cs="KaiTi"/>
          <w:kern w:val="0"/>
          <w:sz w:val="30"/>
          <w:szCs w:val="30"/>
        </w:rPr>
      </w:pPr>
      <w:r w:rsidRPr="00085DE2">
        <w:rPr>
          <w:rFonts w:asciiTheme="majorEastAsia" w:eastAsiaTheme="majorEastAsia" w:hAnsiTheme="majorEastAsia" w:cs="KaiTi"/>
          <w:kern w:val="0"/>
          <w:sz w:val="30"/>
          <w:szCs w:val="30"/>
        </w:rPr>
        <w:t xml:space="preserve">6.4 </w:t>
      </w:r>
      <w:r w:rsidRPr="00085DE2">
        <w:rPr>
          <w:rFonts w:asciiTheme="majorEastAsia" w:eastAsiaTheme="majorEastAsia" w:hAnsiTheme="majorEastAsia" w:cs="KaiTi" w:hint="eastAsia"/>
          <w:kern w:val="0"/>
          <w:sz w:val="30"/>
          <w:szCs w:val="30"/>
        </w:rPr>
        <w:t>报批公布</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各地环保部门、农牧部门将禁养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方案（送审稿）报上一</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级地方环保部门、农牧部门进行技术审核后，报请同级人民政府批准并向社会公布。</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省级环保部门、农牧部门应当及时掌握本行政区域禁养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情况，并定期向环境保护部、农业部报送工作进展情况。</w:t>
      </w:r>
    </w:p>
    <w:p w:rsidR="00085DE2" w:rsidRPr="00085DE2" w:rsidRDefault="00085DE2" w:rsidP="00085DE2">
      <w:pPr>
        <w:autoSpaceDE w:val="0"/>
        <w:autoSpaceDN w:val="0"/>
        <w:adjustRightInd w:val="0"/>
        <w:jc w:val="left"/>
        <w:rPr>
          <w:rFonts w:asciiTheme="majorEastAsia" w:eastAsiaTheme="majorEastAsia" w:hAnsiTheme="majorEastAsia" w:cs="黑体"/>
          <w:kern w:val="0"/>
          <w:sz w:val="30"/>
          <w:szCs w:val="30"/>
        </w:rPr>
      </w:pPr>
      <w:r w:rsidRPr="00085DE2">
        <w:rPr>
          <w:rFonts w:asciiTheme="majorEastAsia" w:eastAsiaTheme="majorEastAsia" w:hAnsiTheme="majorEastAsia" w:cs="黑体"/>
          <w:kern w:val="0"/>
          <w:sz w:val="30"/>
          <w:szCs w:val="30"/>
        </w:rPr>
        <w:t xml:space="preserve">7 </w:t>
      </w:r>
      <w:r w:rsidRPr="00085DE2">
        <w:rPr>
          <w:rFonts w:asciiTheme="majorEastAsia" w:eastAsiaTheme="majorEastAsia" w:hAnsiTheme="majorEastAsia" w:cs="黑体" w:hint="eastAsia"/>
          <w:kern w:val="0"/>
          <w:sz w:val="30"/>
          <w:szCs w:val="30"/>
        </w:rPr>
        <w:t>其他</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kern w:val="0"/>
          <w:sz w:val="30"/>
          <w:szCs w:val="30"/>
        </w:rPr>
        <w:t xml:space="preserve">7.1 </w:t>
      </w:r>
      <w:r w:rsidRPr="00085DE2">
        <w:rPr>
          <w:rFonts w:asciiTheme="majorEastAsia" w:eastAsiaTheme="majorEastAsia" w:hAnsiTheme="majorEastAsia" w:cs="FangSong" w:hint="eastAsia"/>
          <w:kern w:val="0"/>
          <w:sz w:val="30"/>
          <w:szCs w:val="30"/>
        </w:rPr>
        <w:t>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后原则上</w:t>
      </w:r>
      <w:r w:rsidRPr="00085DE2">
        <w:rPr>
          <w:rFonts w:asciiTheme="majorEastAsia" w:eastAsiaTheme="majorEastAsia" w:hAnsiTheme="majorEastAsia" w:cs="FangSong"/>
          <w:kern w:val="0"/>
          <w:sz w:val="30"/>
          <w:szCs w:val="30"/>
        </w:rPr>
        <w:t>5</w:t>
      </w:r>
      <w:r w:rsidRPr="00085DE2">
        <w:rPr>
          <w:rFonts w:asciiTheme="majorEastAsia" w:eastAsiaTheme="majorEastAsia" w:hAnsiTheme="majorEastAsia" w:cs="FangSong" w:hint="eastAsia"/>
          <w:kern w:val="0"/>
          <w:sz w:val="30"/>
          <w:szCs w:val="30"/>
        </w:rPr>
        <w:t>年内不做调整；需要调整的，根据本</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指南开展工作。</w:t>
      </w:r>
    </w:p>
    <w:p w:rsidR="00085DE2" w:rsidRPr="00085DE2" w:rsidRDefault="00085DE2" w:rsidP="00085DE2">
      <w:pPr>
        <w:autoSpaceDE w:val="0"/>
        <w:autoSpaceDN w:val="0"/>
        <w:adjustRightInd w:val="0"/>
        <w:jc w:val="left"/>
        <w:rPr>
          <w:rFonts w:asciiTheme="majorEastAsia" w:eastAsiaTheme="majorEastAsia" w:hAnsiTheme="majorEastAsia" w:cs="宋体"/>
          <w:kern w:val="0"/>
          <w:sz w:val="28"/>
          <w:szCs w:val="28"/>
        </w:rPr>
      </w:pPr>
      <w:r w:rsidRPr="00085DE2">
        <w:rPr>
          <w:rFonts w:asciiTheme="majorEastAsia" w:eastAsiaTheme="majorEastAsia" w:hAnsiTheme="majorEastAsia" w:cs="宋体" w:hint="eastAsia"/>
          <w:kern w:val="0"/>
          <w:sz w:val="28"/>
          <w:szCs w:val="28"/>
        </w:rPr>
        <w:t>—</w:t>
      </w:r>
      <w:r w:rsidRPr="00085DE2">
        <w:rPr>
          <w:rFonts w:asciiTheme="majorEastAsia" w:eastAsiaTheme="majorEastAsia" w:hAnsiTheme="majorEastAsia" w:cs="宋体"/>
          <w:kern w:val="0"/>
          <w:sz w:val="28"/>
          <w:szCs w:val="28"/>
        </w:rPr>
        <w:t xml:space="preserve"> </w:t>
      </w:r>
      <w:r w:rsidRPr="00085DE2">
        <w:rPr>
          <w:rFonts w:asciiTheme="majorEastAsia" w:eastAsiaTheme="majorEastAsia" w:hAnsiTheme="majorEastAsia" w:cs="宋体"/>
          <w:kern w:val="0"/>
          <w:sz w:val="26"/>
          <w:szCs w:val="26"/>
        </w:rPr>
        <w:t xml:space="preserve">7 </w:t>
      </w:r>
      <w:r w:rsidRPr="00085DE2">
        <w:rPr>
          <w:rFonts w:asciiTheme="majorEastAsia" w:eastAsiaTheme="majorEastAsia" w:hAnsiTheme="majorEastAsia" w:cs="宋体" w:hint="eastAsia"/>
          <w:kern w:val="0"/>
          <w:sz w:val="28"/>
          <w:szCs w:val="28"/>
        </w:rPr>
        <w:t>—</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kern w:val="0"/>
          <w:sz w:val="30"/>
          <w:szCs w:val="30"/>
        </w:rPr>
        <w:lastRenderedPageBreak/>
        <w:t xml:space="preserve">7.2 </w:t>
      </w:r>
      <w:r w:rsidRPr="00085DE2">
        <w:rPr>
          <w:rFonts w:asciiTheme="majorEastAsia" w:eastAsiaTheme="majorEastAsia" w:hAnsiTheme="majorEastAsia" w:cs="FangSong" w:hint="eastAsia"/>
          <w:kern w:val="0"/>
          <w:sz w:val="30"/>
          <w:szCs w:val="30"/>
        </w:rPr>
        <w:t>已完成禁养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的、已形成禁养</w:t>
      </w:r>
      <w:proofErr w:type="gramStart"/>
      <w:r w:rsidRPr="00085DE2">
        <w:rPr>
          <w:rFonts w:asciiTheme="majorEastAsia" w:eastAsiaTheme="majorEastAsia" w:hAnsiTheme="majorEastAsia" w:cs="FangSong" w:hint="eastAsia"/>
          <w:kern w:val="0"/>
          <w:sz w:val="30"/>
          <w:szCs w:val="30"/>
        </w:rPr>
        <w:t>区划定初步</w:t>
      </w:r>
      <w:proofErr w:type="gramEnd"/>
      <w:r w:rsidRPr="00085DE2">
        <w:rPr>
          <w:rFonts w:asciiTheme="majorEastAsia" w:eastAsiaTheme="majorEastAsia" w:hAnsiTheme="majorEastAsia" w:cs="FangSong" w:hint="eastAsia"/>
          <w:kern w:val="0"/>
          <w:sz w:val="30"/>
          <w:szCs w:val="30"/>
        </w:rPr>
        <w:t>方案的，但</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划定范围与本指南要求不符的，应当根据本指南予以调整。</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kern w:val="0"/>
          <w:sz w:val="30"/>
          <w:szCs w:val="30"/>
        </w:rPr>
        <w:t xml:space="preserve">7.3 </w:t>
      </w:r>
      <w:r w:rsidRPr="00085DE2">
        <w:rPr>
          <w:rFonts w:asciiTheme="majorEastAsia" w:eastAsiaTheme="majorEastAsia" w:hAnsiTheme="majorEastAsia" w:cs="FangSong" w:hint="eastAsia"/>
          <w:kern w:val="0"/>
          <w:sz w:val="30"/>
          <w:szCs w:val="30"/>
        </w:rPr>
        <w:t>禁养</w:t>
      </w:r>
      <w:proofErr w:type="gramStart"/>
      <w:r w:rsidRPr="00085DE2">
        <w:rPr>
          <w:rFonts w:asciiTheme="majorEastAsia" w:eastAsiaTheme="majorEastAsia" w:hAnsiTheme="majorEastAsia" w:cs="FangSong" w:hint="eastAsia"/>
          <w:kern w:val="0"/>
          <w:sz w:val="30"/>
          <w:szCs w:val="30"/>
        </w:rPr>
        <w:t>区划定</w:t>
      </w:r>
      <w:proofErr w:type="gramEnd"/>
      <w:r w:rsidRPr="00085DE2">
        <w:rPr>
          <w:rFonts w:asciiTheme="majorEastAsia" w:eastAsiaTheme="majorEastAsia" w:hAnsiTheme="majorEastAsia" w:cs="FangSong" w:hint="eastAsia"/>
          <w:kern w:val="0"/>
          <w:sz w:val="30"/>
          <w:szCs w:val="30"/>
        </w:rPr>
        <w:t>工作已明确牵头部门的，可按现有工作机制开</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hint="eastAsia"/>
          <w:kern w:val="0"/>
          <w:sz w:val="30"/>
          <w:szCs w:val="30"/>
        </w:rPr>
        <w:t>展工作；需调整的，可依据本指南对现有工作机制予以调整。</w:t>
      </w:r>
    </w:p>
    <w:p w:rsidR="00085DE2" w:rsidRPr="00085DE2" w:rsidRDefault="00085DE2" w:rsidP="00085DE2">
      <w:pPr>
        <w:autoSpaceDE w:val="0"/>
        <w:autoSpaceDN w:val="0"/>
        <w:adjustRightInd w:val="0"/>
        <w:jc w:val="left"/>
        <w:rPr>
          <w:rFonts w:asciiTheme="majorEastAsia" w:eastAsiaTheme="majorEastAsia" w:hAnsiTheme="majorEastAsia" w:cs="FangSong"/>
          <w:kern w:val="0"/>
          <w:sz w:val="30"/>
          <w:szCs w:val="30"/>
        </w:rPr>
      </w:pPr>
      <w:r w:rsidRPr="00085DE2">
        <w:rPr>
          <w:rFonts w:asciiTheme="majorEastAsia" w:eastAsiaTheme="majorEastAsia" w:hAnsiTheme="majorEastAsia" w:cs="FangSong"/>
          <w:kern w:val="0"/>
          <w:sz w:val="30"/>
          <w:szCs w:val="30"/>
        </w:rPr>
        <w:t xml:space="preserve">7.4 </w:t>
      </w:r>
      <w:r w:rsidRPr="00085DE2">
        <w:rPr>
          <w:rFonts w:asciiTheme="majorEastAsia" w:eastAsiaTheme="majorEastAsia" w:hAnsiTheme="majorEastAsia" w:cs="FangSong" w:hint="eastAsia"/>
          <w:kern w:val="0"/>
          <w:sz w:val="30"/>
          <w:szCs w:val="30"/>
        </w:rPr>
        <w:t>禁养</w:t>
      </w:r>
      <w:proofErr w:type="gramStart"/>
      <w:r w:rsidRPr="00085DE2">
        <w:rPr>
          <w:rFonts w:asciiTheme="majorEastAsia" w:eastAsiaTheme="majorEastAsia" w:hAnsiTheme="majorEastAsia" w:cs="FangSong" w:hint="eastAsia"/>
          <w:kern w:val="0"/>
          <w:sz w:val="30"/>
          <w:szCs w:val="30"/>
        </w:rPr>
        <w:t>区划定完成</w:t>
      </w:r>
      <w:proofErr w:type="gramEnd"/>
      <w:r w:rsidRPr="00085DE2">
        <w:rPr>
          <w:rFonts w:asciiTheme="majorEastAsia" w:eastAsiaTheme="majorEastAsia" w:hAnsiTheme="majorEastAsia" w:cs="FangSong" w:hint="eastAsia"/>
          <w:kern w:val="0"/>
          <w:sz w:val="30"/>
          <w:szCs w:val="30"/>
        </w:rPr>
        <w:t>后，地方环保、农牧部门要按照地方政府</w:t>
      </w:r>
    </w:p>
    <w:p w:rsidR="005B37F3" w:rsidRPr="00085DE2" w:rsidRDefault="00085DE2" w:rsidP="00085DE2">
      <w:pPr>
        <w:autoSpaceDE w:val="0"/>
        <w:autoSpaceDN w:val="0"/>
        <w:adjustRightInd w:val="0"/>
        <w:jc w:val="left"/>
        <w:rPr>
          <w:rFonts w:asciiTheme="majorEastAsia" w:eastAsiaTheme="majorEastAsia" w:hAnsiTheme="majorEastAsia"/>
        </w:rPr>
      </w:pPr>
      <w:r w:rsidRPr="00085DE2">
        <w:rPr>
          <w:rFonts w:asciiTheme="majorEastAsia" w:eastAsiaTheme="majorEastAsia" w:hAnsiTheme="majorEastAsia" w:cs="FangSong" w:hint="eastAsia"/>
          <w:kern w:val="0"/>
          <w:sz w:val="30"/>
          <w:szCs w:val="30"/>
        </w:rPr>
        <w:t>统一部署，积极配合有关部门，依据《水污染防治法》第五十八条、第五十九条和《畜禽规模养殖污染防治条例》第二十五条等有关法律法规的规定，协助做好禁养区内确需关闭或搬迁的已有养殖场关闭或搬迁工作。</w:t>
      </w:r>
      <w:bookmarkStart w:id="0" w:name="_GoBack"/>
      <w:bookmarkEnd w:id="0"/>
    </w:p>
    <w:sectPr w:rsidR="005B37F3" w:rsidRPr="00085D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KaiTi">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E2"/>
    <w:rsid w:val="00085DE2"/>
    <w:rsid w:val="005B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1</cp:revision>
  <dcterms:created xsi:type="dcterms:W3CDTF">2016-11-16T08:08:00Z</dcterms:created>
  <dcterms:modified xsi:type="dcterms:W3CDTF">2016-11-16T08:12:00Z</dcterms:modified>
</cp:coreProperties>
</file>